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32335" w14:textId="0E158A1C" w:rsidR="000345DC" w:rsidRPr="00BC1E0D" w:rsidRDefault="00F30C96" w:rsidP="0055265D">
      <w:pPr>
        <w:pStyle w:val="berschrift1"/>
        <w:rPr>
          <w:rFonts w:cs="Arial"/>
          <w:sz w:val="22"/>
          <w:szCs w:val="22"/>
          <w:lang w:val="en-GB"/>
        </w:rPr>
      </w:pPr>
      <w:bookmarkStart w:id="0" w:name="_GoBack"/>
      <w:bookmarkEnd w:id="0"/>
      <w:r w:rsidRPr="00BC1E0D">
        <w:rPr>
          <w:rFonts w:cs="Arial"/>
          <w:sz w:val="22"/>
          <w:szCs w:val="22"/>
          <w:lang w:val="en-GB"/>
        </w:rPr>
        <w:t xml:space="preserve">ICP Questionnaire – ICP </w:t>
      </w:r>
      <w:r w:rsidR="00BC1E0D" w:rsidRPr="00BC1E0D">
        <w:rPr>
          <w:rFonts w:cs="Arial"/>
          <w:sz w:val="22"/>
          <w:szCs w:val="22"/>
          <w:lang w:val="en-GB"/>
        </w:rPr>
        <w:t>14 Valuation</w:t>
      </w:r>
    </w:p>
    <w:p w14:paraId="50DA9A4B" w14:textId="77777777" w:rsidR="00F30C96" w:rsidRPr="00BC1E0D" w:rsidRDefault="00F30C96" w:rsidP="008237D6">
      <w:pPr>
        <w:rPr>
          <w:rFonts w:cs="Arial"/>
          <w:lang w:val="en-US"/>
        </w:rPr>
      </w:pPr>
    </w:p>
    <w:p w14:paraId="6D5E1AC4" w14:textId="57F8C51D" w:rsidR="00F30C96" w:rsidRPr="00BC1E0D" w:rsidRDefault="00F30C96" w:rsidP="008237D6">
      <w:pPr>
        <w:rPr>
          <w:rFonts w:cs="Arial"/>
          <w:lang w:val="en-US"/>
        </w:rPr>
      </w:pPr>
      <w:r w:rsidRPr="00BC1E0D">
        <w:rPr>
          <w:rFonts w:cs="Arial"/>
          <w:lang w:val="en-US"/>
        </w:rPr>
        <w:t>This ICP questionnaire is based on ICP</w:t>
      </w:r>
      <w:r w:rsidR="002D60AD" w:rsidRPr="00BC1E0D">
        <w:rPr>
          <w:rFonts w:cs="Arial"/>
          <w:lang w:val="en-US"/>
        </w:rPr>
        <w:t xml:space="preserve"> </w:t>
      </w:r>
      <w:r w:rsidR="00BC1E0D" w:rsidRPr="00BC1E0D">
        <w:rPr>
          <w:rFonts w:cs="Arial"/>
          <w:lang w:val="en-US"/>
        </w:rPr>
        <w:t>14 version 2011</w:t>
      </w:r>
      <w:r w:rsidRPr="00BC1E0D">
        <w:rPr>
          <w:rFonts w:cs="Arial"/>
          <w:lang w:val="en-US"/>
        </w:rPr>
        <w:t>.</w:t>
      </w:r>
    </w:p>
    <w:p w14:paraId="4E35C425" w14:textId="77777777" w:rsidR="00F30C96" w:rsidRPr="00BC1E0D" w:rsidRDefault="00F30C96" w:rsidP="008237D6">
      <w:pPr>
        <w:rPr>
          <w:rFonts w:cs="Arial"/>
          <w:lang w:val="en-US"/>
        </w:rPr>
      </w:pPr>
    </w:p>
    <w:p w14:paraId="7FB28B7D" w14:textId="77777777" w:rsidR="00F30C96" w:rsidRPr="00BC1E0D" w:rsidRDefault="00F30C96" w:rsidP="0055265D">
      <w:pPr>
        <w:pStyle w:val="berschrift2"/>
        <w:rPr>
          <w:rFonts w:cs="Arial"/>
          <w:sz w:val="22"/>
          <w:szCs w:val="22"/>
          <w:u w:val="single"/>
          <w:lang w:val="en-GB"/>
        </w:rPr>
      </w:pPr>
      <w:r w:rsidRPr="00BC1E0D">
        <w:rPr>
          <w:rFonts w:cs="Arial"/>
          <w:sz w:val="22"/>
          <w:szCs w:val="22"/>
          <w:u w:val="single"/>
          <w:lang w:val="en-GB"/>
        </w:rPr>
        <w:t xml:space="preserve">Introduction </w:t>
      </w:r>
    </w:p>
    <w:p w14:paraId="7F9E489F" w14:textId="77777777" w:rsidR="00F30C96" w:rsidRPr="00BC1E0D" w:rsidRDefault="00F30C96" w:rsidP="00F30C96">
      <w:pPr>
        <w:rPr>
          <w:rFonts w:cs="Arial"/>
          <w:lang w:val="en-GB"/>
        </w:rPr>
      </w:pPr>
    </w:p>
    <w:p w14:paraId="7654F2AC" w14:textId="77777777" w:rsidR="00F30C96" w:rsidRPr="00BC1E0D" w:rsidRDefault="00F30C96" w:rsidP="00F30C96">
      <w:pPr>
        <w:rPr>
          <w:rFonts w:cs="Arial"/>
          <w:lang w:val="en-GB"/>
        </w:rPr>
      </w:pPr>
      <w:r w:rsidRPr="00BC1E0D">
        <w:rPr>
          <w:rFonts w:cs="Arial"/>
          <w:lang w:val="en-GB"/>
        </w:rPr>
        <w:t xml:space="preserve">For each question, choose the response that most closely corresponds to the situation in YOUR JURISDICTION and YOUR AUTHORITY. Some questions ask about the actual experience in YOUR JURISDICTION during the last three years. If records or reports exist that would help you to respond to such questions, please refer to them. If not, please respond based on your best estimate of what the actual experience has been. </w:t>
      </w:r>
    </w:p>
    <w:p w14:paraId="33EE9484" w14:textId="77777777" w:rsidR="00F30C96" w:rsidRPr="00BC1E0D" w:rsidRDefault="00F30C96" w:rsidP="00F30C96">
      <w:pPr>
        <w:rPr>
          <w:rFonts w:cs="Arial"/>
          <w:lang w:val="en-GB"/>
        </w:rPr>
      </w:pPr>
    </w:p>
    <w:p w14:paraId="6A7A7ABF" w14:textId="64B92BCB" w:rsidR="00BC1E0D" w:rsidRPr="00BC1E0D" w:rsidRDefault="00BC1E0D" w:rsidP="00BC1E0D">
      <w:pPr>
        <w:rPr>
          <w:rFonts w:eastAsia="Times New Roman" w:cs="Arial"/>
          <w:bCs/>
          <w:lang w:val="en-US" w:eastAsia="en-GB"/>
        </w:rPr>
      </w:pPr>
      <w:r w:rsidRPr="00BC1E0D">
        <w:rPr>
          <w:rFonts w:eastAsia="Times New Roman" w:cs="Arial"/>
          <w:bCs/>
          <w:lang w:val="en-US" w:eastAsia="en-GB"/>
        </w:rPr>
        <w:t>If your response to one or more questions would differ significantly for different types of insurers, for example, life insurers versus non-life insurers, then please respond to each such question with respect the same type of insurer.</w:t>
      </w:r>
    </w:p>
    <w:p w14:paraId="2ED1E782" w14:textId="77777777" w:rsidR="00BC1E0D" w:rsidRPr="00BC1E0D" w:rsidRDefault="00BC1E0D" w:rsidP="00BC1E0D">
      <w:pPr>
        <w:rPr>
          <w:rFonts w:eastAsia="Times New Roman" w:cs="Arial"/>
          <w:bCs/>
          <w:lang w:val="en-US" w:eastAsia="en-GB"/>
        </w:rPr>
      </w:pPr>
    </w:p>
    <w:p w14:paraId="2CABAB07" w14:textId="29BDD566" w:rsidR="00BC1E0D" w:rsidRPr="00BC1E0D" w:rsidRDefault="00F30C96" w:rsidP="00BC1E0D">
      <w:pPr>
        <w:rPr>
          <w:rFonts w:cs="Arial"/>
          <w:lang w:val="en-GB"/>
        </w:rPr>
      </w:pPr>
      <w:r w:rsidRPr="00BC1E0D">
        <w:rPr>
          <w:rFonts w:cs="Arial"/>
          <w:lang w:val="en-GB"/>
        </w:rPr>
        <w:t>In this survey (as in the ICPs), the term “legislation” is used to include both primary legislation (which generally requires full legislative consent) and secondary and other forms of legislation, including rules and regulations which have the legal force of law but are usually the responsibility of the supervisor. The term “supervisory guidelines” means documents issued by the supervisor to communicate expectations to the industry, which do not have the legal force of law.</w:t>
      </w:r>
      <w:r w:rsidR="00BC1E0D" w:rsidRPr="00BC1E0D">
        <w:rPr>
          <w:rFonts w:cs="Arial"/>
          <w:lang w:val="en-GB"/>
        </w:rPr>
        <w:t xml:space="preserve"> </w:t>
      </w:r>
      <w:r w:rsidR="00BC1E0D" w:rsidRPr="00BC1E0D">
        <w:rPr>
          <w:rFonts w:eastAsia="Times New Roman" w:cs="Arial"/>
          <w:bCs/>
          <w:lang w:val="en-US" w:eastAsia="en-GB"/>
        </w:rPr>
        <w:t>In this survey, the term “requirements” means requirements that apply broadly to insurers or to a type of insurer, for example, non-life insurers. </w:t>
      </w:r>
    </w:p>
    <w:p w14:paraId="2096900B" w14:textId="77777777" w:rsidR="00F30C96" w:rsidRPr="00BC1E0D" w:rsidRDefault="00F30C96" w:rsidP="00F30C96">
      <w:pPr>
        <w:rPr>
          <w:rFonts w:cs="Arial"/>
          <w:lang w:val="en-GB"/>
        </w:rPr>
      </w:pPr>
    </w:p>
    <w:p w14:paraId="4B20CCB0" w14:textId="77777777" w:rsidR="00F30C96" w:rsidRPr="00BC1E0D" w:rsidRDefault="00F30C96" w:rsidP="00F30C96">
      <w:pPr>
        <w:rPr>
          <w:rFonts w:cs="Arial"/>
          <w:lang w:val="en-GB"/>
        </w:rPr>
      </w:pPr>
      <w:r w:rsidRPr="00BC1E0D">
        <w:rPr>
          <w:rFonts w:cs="Arial"/>
          <w:lang w:val="en-GB"/>
        </w:rPr>
        <w:t xml:space="preserve">It is recommended that you prepare all answers to this questionnaire in advance and obtain approval in your supervisory authority before entering the results in the ICP Self-Assessment Tool (SAT) via </w:t>
      </w:r>
      <w:hyperlink r:id="rId10" w:history="1">
        <w:r w:rsidRPr="00BC1E0D">
          <w:rPr>
            <w:rStyle w:val="Hyperlink"/>
            <w:rFonts w:cs="Arial"/>
            <w:color w:val="auto"/>
            <w:lang w:val="en-GB"/>
          </w:rPr>
          <w:t>www.icp-selfassessment.org</w:t>
        </w:r>
      </w:hyperlink>
      <w:r w:rsidRPr="00BC1E0D">
        <w:rPr>
          <w:rFonts w:cs="Arial"/>
          <w:lang w:val="en-GB"/>
        </w:rPr>
        <w:t xml:space="preserve"> </w:t>
      </w:r>
    </w:p>
    <w:p w14:paraId="44595BD9" w14:textId="77777777" w:rsidR="00F30C96" w:rsidRPr="00BC1E0D" w:rsidRDefault="00F30C96" w:rsidP="00F30C96">
      <w:pPr>
        <w:rPr>
          <w:rFonts w:cs="Arial"/>
          <w:lang w:val="en-GB"/>
        </w:rPr>
      </w:pPr>
    </w:p>
    <w:p w14:paraId="33255A7E" w14:textId="77777777" w:rsidR="00F30C96" w:rsidRPr="00BC1E0D" w:rsidRDefault="00F30C96" w:rsidP="00F30C96">
      <w:pPr>
        <w:rPr>
          <w:rFonts w:cs="Arial"/>
          <w:lang w:val="en-GB"/>
        </w:rPr>
      </w:pPr>
      <w:r w:rsidRPr="00BC1E0D">
        <w:rPr>
          <w:rFonts w:cs="Arial"/>
          <w:lang w:val="en-GB"/>
        </w:rPr>
        <w:t xml:space="preserve">Please note that in contrast to other ICP assessment processes the ICP SAT only takes into account your answers to multiple choice questions without any qualitative review. Therefore the results are only high level and non-binding. </w:t>
      </w:r>
    </w:p>
    <w:p w14:paraId="3B0D5244" w14:textId="77777777" w:rsidR="00F30C96" w:rsidRPr="00BC1E0D" w:rsidRDefault="00F30C96" w:rsidP="00F30C96">
      <w:pPr>
        <w:rPr>
          <w:rFonts w:cs="Arial"/>
          <w:lang w:val="en-GB"/>
        </w:rPr>
      </w:pPr>
    </w:p>
    <w:p w14:paraId="0919C0EA" w14:textId="77777777" w:rsidR="00F30C96" w:rsidRPr="00BC1E0D" w:rsidRDefault="00F30C96" w:rsidP="00F30C96">
      <w:pPr>
        <w:rPr>
          <w:rFonts w:cs="Arial"/>
          <w:b/>
          <w:lang w:val="en-GB"/>
        </w:rPr>
      </w:pPr>
    </w:p>
    <w:p w14:paraId="3C0A8C0D" w14:textId="4B8AE92D" w:rsidR="00F30C96" w:rsidRDefault="00F30C96" w:rsidP="0055265D">
      <w:pPr>
        <w:pStyle w:val="berschrift2"/>
        <w:rPr>
          <w:rFonts w:cs="Arial"/>
          <w:sz w:val="22"/>
          <w:szCs w:val="22"/>
          <w:u w:val="single"/>
          <w:lang w:val="en-GB"/>
        </w:rPr>
      </w:pPr>
      <w:r w:rsidRPr="00BC1E0D">
        <w:rPr>
          <w:rFonts w:cs="Arial"/>
          <w:sz w:val="22"/>
          <w:szCs w:val="22"/>
          <w:u w:val="single"/>
          <w:lang w:val="en-GB"/>
        </w:rPr>
        <w:t>Questionnaire</w:t>
      </w:r>
    </w:p>
    <w:p w14:paraId="2B203C24" w14:textId="0EAFEDEC" w:rsidR="00EE2508" w:rsidRDefault="00EE2508" w:rsidP="00EE2508">
      <w:pPr>
        <w:rPr>
          <w:lang w:val="en-GB"/>
        </w:rPr>
      </w:pPr>
    </w:p>
    <w:p w14:paraId="0E473D18" w14:textId="77D867BD" w:rsidR="00EE2508" w:rsidRDefault="000B51C1" w:rsidP="00EE2508">
      <w:pPr>
        <w:rPr>
          <w:b/>
          <w:bCs/>
          <w:lang w:val="en-US"/>
        </w:rPr>
      </w:pPr>
      <w:r>
        <w:rPr>
          <w:b/>
          <w:bCs/>
          <w:lang w:val="en-US"/>
        </w:rPr>
        <w:t>1</w:t>
      </w:r>
      <w:r w:rsidR="00B25AB9">
        <w:rPr>
          <w:b/>
          <w:bCs/>
          <w:lang w:val="en-US"/>
        </w:rPr>
        <w:t>4</w:t>
      </w:r>
      <w:r>
        <w:rPr>
          <w:b/>
          <w:bCs/>
          <w:lang w:val="en-US"/>
        </w:rPr>
        <w:tab/>
      </w:r>
      <w:r w:rsidR="00EE2508" w:rsidRPr="00EE2508">
        <w:rPr>
          <w:b/>
          <w:bCs/>
          <w:lang w:val="en-US"/>
        </w:rPr>
        <w:t>The supervisor establishes requirements for the valuation of assets and liabilities for solvency purposes.</w:t>
      </w:r>
    </w:p>
    <w:p w14:paraId="5D5A34B4" w14:textId="77777777" w:rsidR="00E55064" w:rsidRPr="00EE2508" w:rsidRDefault="00E55064" w:rsidP="00EE2508">
      <w:pPr>
        <w:rPr>
          <w:lang w:val="en-US"/>
        </w:rPr>
      </w:pPr>
    </w:p>
    <w:p w14:paraId="0CB7F10D" w14:textId="6DB1AEC9" w:rsidR="00E55064" w:rsidRPr="00B25AB9" w:rsidRDefault="00E55064" w:rsidP="00B25AB9">
      <w:pPr>
        <w:pStyle w:val="Listenabsatz"/>
        <w:numPr>
          <w:ilvl w:val="0"/>
          <w:numId w:val="57"/>
        </w:numPr>
        <w:rPr>
          <w:rFonts w:ascii="Arial" w:hAnsi="Arial" w:cs="Arial"/>
          <w:lang w:val="en-GB"/>
        </w:rPr>
      </w:pPr>
      <w:r w:rsidRPr="00B25AB9">
        <w:rPr>
          <w:rFonts w:ascii="Arial" w:hAnsi="Arial" w:cs="Arial"/>
          <w:b/>
          <w:lang w:val="en-GB"/>
        </w:rPr>
        <w:t>Overarching questions</w:t>
      </w:r>
    </w:p>
    <w:p w14:paraId="7DA573BE" w14:textId="314FB739" w:rsidR="00BC1E0D" w:rsidRPr="00BC1E0D" w:rsidRDefault="00BC1E0D" w:rsidP="00BC1E0D">
      <w:pPr>
        <w:numPr>
          <w:ilvl w:val="0"/>
          <w:numId w:val="1"/>
        </w:numPr>
        <w:spacing w:after="200" w:line="276" w:lineRule="auto"/>
        <w:contextualSpacing/>
        <w:rPr>
          <w:rFonts w:cs="Arial"/>
          <w:lang w:val="en-US"/>
        </w:rPr>
      </w:pPr>
      <w:r w:rsidRPr="00BC1E0D">
        <w:rPr>
          <w:rFonts w:cs="Arial"/>
          <w:lang w:val="en-US"/>
        </w:rPr>
        <w:t xml:space="preserve">How have the requirements for the </w:t>
      </w:r>
      <w:r w:rsidRPr="00BC1E0D">
        <w:rPr>
          <w:rFonts w:cs="Arial"/>
          <w:b/>
          <w:lang w:val="en-US"/>
        </w:rPr>
        <w:t>valuation of assets</w:t>
      </w:r>
      <w:r w:rsidRPr="00BC1E0D">
        <w:rPr>
          <w:rFonts w:cs="Arial"/>
          <w:lang w:val="en-US"/>
        </w:rPr>
        <w:t xml:space="preserve"> for solvency purposes been established in YOUR JURISDICTION? (More than one response from among numbers 1 to 3 or from among numbers 4 to 6 may be entered, where applicable.)</w:t>
      </w:r>
      <w:r w:rsidR="007B230E">
        <w:rPr>
          <w:rFonts w:cs="Arial"/>
          <w:lang w:val="en-US"/>
        </w:rPr>
        <w:t>?</w:t>
      </w:r>
    </w:p>
    <w:p w14:paraId="4F564339" w14:textId="24302303" w:rsidR="00BC1E0D" w:rsidRPr="007B230E" w:rsidRDefault="007B230E" w:rsidP="007B230E">
      <w:pPr>
        <w:pStyle w:val="Listenabsatz"/>
        <w:ind w:hanging="360"/>
        <w:rPr>
          <w:rFonts w:ascii="Arial" w:hAnsi="Arial" w:cs="Arial"/>
          <w:lang w:val="en-US"/>
        </w:rPr>
      </w:pPr>
      <w:r w:rsidRPr="007B230E">
        <w:rPr>
          <w:rFonts w:ascii="Arial" w:hAnsi="Arial" w:cs="Arial"/>
          <w:lang w:val="en-US"/>
        </w:rPr>
        <w:t xml:space="preserve">A. </w:t>
      </w:r>
      <w:r w:rsidR="00BC1E0D" w:rsidRPr="007B230E">
        <w:rPr>
          <w:rFonts w:ascii="Arial" w:hAnsi="Arial" w:cs="Arial"/>
          <w:lang w:val="en-US"/>
        </w:rPr>
        <w:t>The requirements have been established by legislation.</w:t>
      </w:r>
    </w:p>
    <w:p w14:paraId="3B5DBDA5" w14:textId="7C71584E" w:rsidR="00BC1E0D" w:rsidRPr="00BC1E0D" w:rsidRDefault="007B230E" w:rsidP="007B230E">
      <w:pPr>
        <w:spacing w:after="200" w:line="276" w:lineRule="auto"/>
        <w:ind w:left="709" w:hanging="349"/>
        <w:contextualSpacing/>
        <w:rPr>
          <w:rFonts w:cs="Arial"/>
          <w:lang w:val="en-US"/>
        </w:rPr>
      </w:pPr>
      <w:r>
        <w:rPr>
          <w:rFonts w:cs="Arial"/>
          <w:lang w:val="en-US"/>
        </w:rPr>
        <w:t xml:space="preserve">B. </w:t>
      </w:r>
      <w:r w:rsidR="00BC1E0D" w:rsidRPr="00BC1E0D">
        <w:rPr>
          <w:rFonts w:cs="Arial"/>
          <w:lang w:val="en-US"/>
        </w:rPr>
        <w:t>The requirements have been established under actuarial or financial reporting standards.</w:t>
      </w:r>
    </w:p>
    <w:p w14:paraId="164137EA" w14:textId="29ED13E9" w:rsidR="00BC1E0D" w:rsidRPr="00BC1E0D" w:rsidRDefault="007B230E" w:rsidP="007B230E">
      <w:pPr>
        <w:spacing w:after="200" w:line="276" w:lineRule="auto"/>
        <w:ind w:left="360"/>
        <w:contextualSpacing/>
        <w:rPr>
          <w:rFonts w:cs="Arial"/>
          <w:lang w:val="en-US"/>
        </w:rPr>
      </w:pPr>
      <w:r>
        <w:rPr>
          <w:rFonts w:cs="Arial"/>
          <w:lang w:val="en-US"/>
        </w:rPr>
        <w:t xml:space="preserve">C. </w:t>
      </w:r>
      <w:r w:rsidR="00BC1E0D" w:rsidRPr="00BC1E0D">
        <w:rPr>
          <w:rFonts w:cs="Arial"/>
          <w:lang w:val="en-US"/>
        </w:rPr>
        <w:t>The requirements have been established through supervisory guidelines.</w:t>
      </w:r>
    </w:p>
    <w:p w14:paraId="5F0ABEBC" w14:textId="404D73F6" w:rsidR="00BC1E0D" w:rsidRPr="00BC1E0D" w:rsidRDefault="007B230E" w:rsidP="007B230E">
      <w:pPr>
        <w:spacing w:after="200" w:line="276" w:lineRule="auto"/>
        <w:ind w:left="360"/>
        <w:contextualSpacing/>
        <w:rPr>
          <w:rFonts w:cs="Arial"/>
          <w:lang w:val="en-US"/>
        </w:rPr>
      </w:pPr>
      <w:r>
        <w:rPr>
          <w:rFonts w:cs="Arial"/>
          <w:lang w:val="en-US"/>
        </w:rPr>
        <w:lastRenderedPageBreak/>
        <w:t xml:space="preserve">D. </w:t>
      </w:r>
      <w:r w:rsidR="00BC1E0D" w:rsidRPr="00BC1E0D">
        <w:rPr>
          <w:rFonts w:cs="Arial"/>
          <w:lang w:val="en-US"/>
        </w:rPr>
        <w:t>There are no specific requirements, but insurers are required to obtain the approval of YOUR AUTHORITY for the basis of valuation.</w:t>
      </w:r>
    </w:p>
    <w:p w14:paraId="3A440B03" w14:textId="6D17DDE2" w:rsidR="00BC1E0D" w:rsidRPr="007B230E" w:rsidRDefault="00BC1E0D" w:rsidP="007B230E">
      <w:pPr>
        <w:pStyle w:val="Listenabsatz"/>
        <w:numPr>
          <w:ilvl w:val="1"/>
          <w:numId w:val="1"/>
        </w:numPr>
        <w:rPr>
          <w:rFonts w:cs="Arial"/>
          <w:lang w:val="en-US"/>
        </w:rPr>
      </w:pPr>
      <w:r w:rsidRPr="007B230E">
        <w:rPr>
          <w:rFonts w:cs="Arial"/>
          <w:lang w:val="en-US"/>
        </w:rPr>
        <w:t>There are no specific requirements, but YOUR AUTHORITY advises insurers when it has concerns about the basis of valuation.</w:t>
      </w:r>
    </w:p>
    <w:p w14:paraId="5F674E53" w14:textId="77777777" w:rsidR="00BC1E0D" w:rsidRPr="00BC1E0D" w:rsidRDefault="00BC1E0D" w:rsidP="00BC1E0D">
      <w:pPr>
        <w:numPr>
          <w:ilvl w:val="1"/>
          <w:numId w:val="1"/>
        </w:numPr>
        <w:spacing w:after="200" w:line="276" w:lineRule="auto"/>
        <w:contextualSpacing/>
        <w:rPr>
          <w:rFonts w:cs="Arial"/>
          <w:lang w:val="en-US"/>
        </w:rPr>
      </w:pPr>
      <w:r w:rsidRPr="00BC1E0D">
        <w:rPr>
          <w:rFonts w:cs="Arial"/>
          <w:lang w:val="en-US"/>
        </w:rPr>
        <w:t>There are no specific requirements, but an insurer must use a basis of valuation that is acceptable to its external auditor.</w:t>
      </w:r>
    </w:p>
    <w:p w14:paraId="1934B6FF" w14:textId="77777777" w:rsidR="00BC1E0D" w:rsidRPr="00BC1E0D" w:rsidRDefault="00BC1E0D" w:rsidP="00BC1E0D">
      <w:pPr>
        <w:ind w:left="360"/>
        <w:contextualSpacing/>
        <w:rPr>
          <w:rFonts w:cs="Arial"/>
          <w:lang w:val="en-US"/>
        </w:rPr>
      </w:pPr>
    </w:p>
    <w:p w14:paraId="165D1D3F" w14:textId="77777777" w:rsidR="00BC1E0D" w:rsidRPr="00BC1E0D" w:rsidRDefault="00BC1E0D" w:rsidP="00BC1E0D">
      <w:pPr>
        <w:numPr>
          <w:ilvl w:val="0"/>
          <w:numId w:val="1"/>
        </w:numPr>
        <w:spacing w:after="200" w:line="276" w:lineRule="auto"/>
        <w:contextualSpacing/>
        <w:rPr>
          <w:rFonts w:cs="Arial"/>
          <w:lang w:val="en-US"/>
        </w:rPr>
      </w:pPr>
      <w:r w:rsidRPr="00BC1E0D">
        <w:rPr>
          <w:rFonts w:cs="Arial"/>
          <w:lang w:val="en-US"/>
        </w:rPr>
        <w:t xml:space="preserve">How have the requirements for the </w:t>
      </w:r>
      <w:r w:rsidRPr="00BC1E0D">
        <w:rPr>
          <w:rFonts w:cs="Arial"/>
          <w:b/>
          <w:lang w:val="en-US"/>
        </w:rPr>
        <w:t>valuation of liabilities</w:t>
      </w:r>
      <w:r w:rsidRPr="00BC1E0D">
        <w:rPr>
          <w:rFonts w:cs="Arial"/>
          <w:lang w:val="en-US"/>
        </w:rPr>
        <w:t xml:space="preserve"> for solvency purposes been established in YOUR JURISDICTION? (More than one response from among numbers 1 to 3 or from among numbers 4 to 7 may be entered, where applicable.)</w:t>
      </w:r>
    </w:p>
    <w:p w14:paraId="0D37ADBE" w14:textId="77777777" w:rsidR="00BC1E0D" w:rsidRPr="00BC1E0D" w:rsidRDefault="00BC1E0D" w:rsidP="00BC1E0D">
      <w:pPr>
        <w:numPr>
          <w:ilvl w:val="1"/>
          <w:numId w:val="1"/>
        </w:numPr>
        <w:spacing w:after="200" w:line="276" w:lineRule="auto"/>
        <w:contextualSpacing/>
        <w:rPr>
          <w:rFonts w:cs="Arial"/>
          <w:lang w:val="en-US"/>
        </w:rPr>
      </w:pPr>
      <w:r w:rsidRPr="00BC1E0D">
        <w:rPr>
          <w:rFonts w:cs="Arial"/>
          <w:lang w:val="en-US"/>
        </w:rPr>
        <w:t>The requirements have been established by legislation.</w:t>
      </w:r>
    </w:p>
    <w:p w14:paraId="2C10F9D0" w14:textId="77777777" w:rsidR="00BC1E0D" w:rsidRPr="00BC1E0D" w:rsidRDefault="00BC1E0D" w:rsidP="00BC1E0D">
      <w:pPr>
        <w:numPr>
          <w:ilvl w:val="1"/>
          <w:numId w:val="1"/>
        </w:numPr>
        <w:spacing w:after="200" w:line="276" w:lineRule="auto"/>
        <w:contextualSpacing/>
        <w:rPr>
          <w:rFonts w:cs="Arial"/>
          <w:lang w:val="en-US"/>
        </w:rPr>
      </w:pPr>
      <w:r w:rsidRPr="00BC1E0D">
        <w:rPr>
          <w:rFonts w:cs="Arial"/>
          <w:lang w:val="en-US"/>
        </w:rPr>
        <w:t>The requirements have been established under actuarial or financial reporting standards.</w:t>
      </w:r>
    </w:p>
    <w:p w14:paraId="224C6559" w14:textId="77777777" w:rsidR="00BC1E0D" w:rsidRPr="00BC1E0D" w:rsidRDefault="00BC1E0D" w:rsidP="00BC1E0D">
      <w:pPr>
        <w:numPr>
          <w:ilvl w:val="1"/>
          <w:numId w:val="1"/>
        </w:numPr>
        <w:spacing w:after="200" w:line="276" w:lineRule="auto"/>
        <w:contextualSpacing/>
        <w:rPr>
          <w:rFonts w:cs="Arial"/>
          <w:lang w:val="en-US"/>
        </w:rPr>
      </w:pPr>
      <w:r w:rsidRPr="00BC1E0D">
        <w:rPr>
          <w:rFonts w:cs="Arial"/>
          <w:lang w:val="en-US"/>
        </w:rPr>
        <w:t>The requirements have been established through supervisory guidelines.</w:t>
      </w:r>
    </w:p>
    <w:p w14:paraId="67D8D76E" w14:textId="77777777" w:rsidR="00BC1E0D" w:rsidRPr="00BC1E0D" w:rsidRDefault="00BC1E0D" w:rsidP="00BC1E0D">
      <w:pPr>
        <w:numPr>
          <w:ilvl w:val="1"/>
          <w:numId w:val="1"/>
        </w:numPr>
        <w:spacing w:after="200" w:line="276" w:lineRule="auto"/>
        <w:contextualSpacing/>
        <w:rPr>
          <w:rFonts w:cs="Arial"/>
          <w:lang w:val="en-US"/>
        </w:rPr>
      </w:pPr>
      <w:r w:rsidRPr="00BC1E0D">
        <w:rPr>
          <w:rFonts w:cs="Arial"/>
          <w:lang w:val="en-US"/>
        </w:rPr>
        <w:t>There are no specific requirements, but insurers are required to obtain the approval of YOUR AUTHORITY for the basis of valuation.</w:t>
      </w:r>
    </w:p>
    <w:p w14:paraId="04CD7779" w14:textId="77777777" w:rsidR="00BC1E0D" w:rsidRPr="00BC1E0D" w:rsidRDefault="00BC1E0D" w:rsidP="00BC1E0D">
      <w:pPr>
        <w:numPr>
          <w:ilvl w:val="1"/>
          <w:numId w:val="1"/>
        </w:numPr>
        <w:spacing w:after="200" w:line="276" w:lineRule="auto"/>
        <w:contextualSpacing/>
        <w:rPr>
          <w:rFonts w:cs="Arial"/>
          <w:lang w:val="en-US"/>
        </w:rPr>
      </w:pPr>
      <w:r w:rsidRPr="00BC1E0D">
        <w:rPr>
          <w:rFonts w:cs="Arial"/>
          <w:lang w:val="en-US"/>
        </w:rPr>
        <w:t>There are no specific requirements, but YOUR AUTHORITY advises insurers when it has concerns about the basis of valuation.</w:t>
      </w:r>
    </w:p>
    <w:p w14:paraId="596D0EA2" w14:textId="77777777" w:rsidR="00BC1E0D" w:rsidRPr="00BC1E0D" w:rsidRDefault="00BC1E0D" w:rsidP="00BC1E0D">
      <w:pPr>
        <w:numPr>
          <w:ilvl w:val="1"/>
          <w:numId w:val="1"/>
        </w:numPr>
        <w:spacing w:after="200" w:line="276" w:lineRule="auto"/>
        <w:contextualSpacing/>
        <w:rPr>
          <w:rFonts w:cs="Arial"/>
          <w:lang w:val="en-US"/>
        </w:rPr>
      </w:pPr>
      <w:r w:rsidRPr="00BC1E0D">
        <w:rPr>
          <w:rFonts w:cs="Arial"/>
          <w:lang w:val="en-US"/>
        </w:rPr>
        <w:t>There are no specific requirements, but an insurer must use a basis of valuation acceptable to its external auditor.</w:t>
      </w:r>
    </w:p>
    <w:p w14:paraId="47D7471A" w14:textId="77777777" w:rsidR="00BC1E0D" w:rsidRPr="00BC1E0D" w:rsidRDefault="00BC1E0D" w:rsidP="00BC1E0D">
      <w:pPr>
        <w:numPr>
          <w:ilvl w:val="1"/>
          <w:numId w:val="1"/>
        </w:numPr>
        <w:spacing w:after="200" w:line="276" w:lineRule="auto"/>
        <w:contextualSpacing/>
        <w:rPr>
          <w:rFonts w:cs="Arial"/>
          <w:lang w:val="en-US"/>
        </w:rPr>
      </w:pPr>
      <w:r w:rsidRPr="00BC1E0D">
        <w:rPr>
          <w:rFonts w:cs="Arial"/>
          <w:lang w:val="en-US"/>
        </w:rPr>
        <w:t>There are no specific requirements, but an insurer must use a basis of valuation acceptable to its actuary.</w:t>
      </w:r>
    </w:p>
    <w:p w14:paraId="0FF6C9C3" w14:textId="77777777" w:rsidR="000B51C1" w:rsidRPr="00E764EC" w:rsidRDefault="000B51C1" w:rsidP="000B51C1">
      <w:pPr>
        <w:pStyle w:val="Default"/>
        <w:ind w:left="360"/>
        <w:rPr>
          <w:lang w:val="en-US"/>
        </w:rPr>
      </w:pPr>
    </w:p>
    <w:p w14:paraId="09A6FA50" w14:textId="41D23935" w:rsidR="000B51C1" w:rsidRPr="000B51C1" w:rsidRDefault="00E55064" w:rsidP="00E55064">
      <w:pPr>
        <w:pStyle w:val="Default"/>
        <w:rPr>
          <w:sz w:val="22"/>
          <w:szCs w:val="22"/>
          <w:lang w:val="en-US"/>
        </w:rPr>
      </w:pPr>
      <w:r>
        <w:rPr>
          <w:b/>
          <w:bCs/>
          <w:sz w:val="22"/>
          <w:szCs w:val="22"/>
          <w:lang w:val="en-US"/>
        </w:rPr>
        <w:t>1</w:t>
      </w:r>
      <w:r w:rsidR="00B25AB9">
        <w:rPr>
          <w:b/>
          <w:bCs/>
          <w:sz w:val="22"/>
          <w:szCs w:val="22"/>
          <w:lang w:val="en-US"/>
        </w:rPr>
        <w:t>4</w:t>
      </w:r>
      <w:r>
        <w:rPr>
          <w:b/>
          <w:bCs/>
          <w:sz w:val="22"/>
          <w:szCs w:val="22"/>
          <w:lang w:val="en-US"/>
        </w:rPr>
        <w:t>.1</w:t>
      </w:r>
      <w:r>
        <w:rPr>
          <w:b/>
          <w:bCs/>
          <w:sz w:val="22"/>
          <w:szCs w:val="22"/>
          <w:lang w:val="en-US"/>
        </w:rPr>
        <w:tab/>
      </w:r>
      <w:r w:rsidR="000B51C1" w:rsidRPr="000B51C1">
        <w:rPr>
          <w:b/>
          <w:bCs/>
          <w:sz w:val="22"/>
          <w:szCs w:val="22"/>
          <w:lang w:val="en-US"/>
        </w:rPr>
        <w:t xml:space="preserve">The valuation addresses recognition, derecognition and measurement of assets and liabilities. </w:t>
      </w:r>
    </w:p>
    <w:p w14:paraId="28CF79A7" w14:textId="7A9DA1B0" w:rsidR="00BC1E0D" w:rsidRDefault="00BC1E0D" w:rsidP="00BC1E0D">
      <w:pPr>
        <w:rPr>
          <w:rFonts w:cs="Arial"/>
          <w:lang w:val="en-US"/>
        </w:rPr>
      </w:pPr>
    </w:p>
    <w:p w14:paraId="0C50C6BD" w14:textId="77777777" w:rsidR="000B51C1" w:rsidRPr="00BC1E0D" w:rsidRDefault="000B51C1" w:rsidP="00BC1E0D">
      <w:pPr>
        <w:rPr>
          <w:rFonts w:cs="Arial"/>
          <w:lang w:val="en-US"/>
        </w:rPr>
      </w:pPr>
    </w:p>
    <w:p w14:paraId="3A7AC0E7" w14:textId="117F51CF" w:rsidR="00BC1E0D" w:rsidRPr="00BC1E0D" w:rsidRDefault="00BC1E0D" w:rsidP="00BC1E0D">
      <w:pPr>
        <w:numPr>
          <w:ilvl w:val="0"/>
          <w:numId w:val="1"/>
        </w:numPr>
        <w:spacing w:after="200" w:line="276" w:lineRule="auto"/>
        <w:contextualSpacing/>
        <w:rPr>
          <w:rFonts w:cs="Arial"/>
          <w:lang w:val="en-US"/>
        </w:rPr>
      </w:pPr>
      <w:r w:rsidRPr="00BC1E0D">
        <w:rPr>
          <w:rFonts w:cs="Arial"/>
          <w:lang w:val="en-US"/>
        </w:rPr>
        <w:t>To what extent do the requirements for valuations in YOUR JURISDICTION address recognition, derecognition and measurement of assets and liabilities?</w:t>
      </w:r>
    </w:p>
    <w:p w14:paraId="5C721AF5" w14:textId="77777777" w:rsidR="00BC1E0D" w:rsidRPr="00BC1E0D" w:rsidRDefault="00BC1E0D" w:rsidP="00BC1E0D">
      <w:pPr>
        <w:spacing w:after="200" w:line="276" w:lineRule="auto"/>
        <w:ind w:left="360"/>
        <w:contextualSpacing/>
        <w:rPr>
          <w:rFonts w:cs="Arial"/>
          <w:lang w:val="en-US"/>
        </w:rPr>
      </w:pPr>
    </w:p>
    <w:tbl>
      <w:tblPr>
        <w:tblStyle w:val="TableGrid1"/>
        <w:tblW w:w="0" w:type="auto"/>
        <w:tblLook w:val="04A0" w:firstRow="1" w:lastRow="0" w:firstColumn="1" w:lastColumn="0" w:noHBand="0" w:noVBand="1"/>
      </w:tblPr>
      <w:tblGrid>
        <w:gridCol w:w="1534"/>
        <w:gridCol w:w="1332"/>
        <w:gridCol w:w="1536"/>
        <w:gridCol w:w="1497"/>
        <w:gridCol w:w="1660"/>
        <w:gridCol w:w="1501"/>
      </w:tblGrid>
      <w:tr w:rsidR="00BC1E0D" w:rsidRPr="007B230E" w14:paraId="7F100D37" w14:textId="77777777" w:rsidTr="00194C4C">
        <w:tc>
          <w:tcPr>
            <w:tcW w:w="0" w:type="auto"/>
          </w:tcPr>
          <w:p w14:paraId="12473177" w14:textId="77777777" w:rsidR="00BC1E0D" w:rsidRPr="00BC1E0D" w:rsidRDefault="00BC1E0D" w:rsidP="00194C4C">
            <w:pPr>
              <w:rPr>
                <w:rFonts w:cs="Arial"/>
                <w:sz w:val="20"/>
                <w:szCs w:val="20"/>
              </w:rPr>
            </w:pPr>
          </w:p>
        </w:tc>
        <w:tc>
          <w:tcPr>
            <w:tcW w:w="0" w:type="auto"/>
          </w:tcPr>
          <w:p w14:paraId="50416A03" w14:textId="77777777" w:rsidR="00BC1E0D" w:rsidRPr="00BC1E0D" w:rsidRDefault="00BC1E0D" w:rsidP="00194C4C">
            <w:pPr>
              <w:rPr>
                <w:rFonts w:cs="Arial"/>
                <w:sz w:val="20"/>
                <w:szCs w:val="20"/>
              </w:rPr>
            </w:pPr>
            <w:r w:rsidRPr="00BC1E0D">
              <w:rPr>
                <w:rFonts w:eastAsia="Times New Roman" w:cs="Arial"/>
                <w:sz w:val="20"/>
                <w:szCs w:val="20"/>
                <w:lang w:eastAsia="en-GB"/>
              </w:rPr>
              <w:t>1. Explicitly addressed by legislation and / or actuarial and  / or financial reporting standards</w:t>
            </w:r>
          </w:p>
        </w:tc>
        <w:tc>
          <w:tcPr>
            <w:tcW w:w="0" w:type="auto"/>
          </w:tcPr>
          <w:p w14:paraId="788CCF60" w14:textId="77777777" w:rsidR="00BC1E0D" w:rsidRPr="00BC1E0D" w:rsidRDefault="00BC1E0D" w:rsidP="00194C4C">
            <w:pPr>
              <w:rPr>
                <w:rFonts w:cs="Arial"/>
                <w:sz w:val="20"/>
                <w:szCs w:val="20"/>
              </w:rPr>
            </w:pPr>
            <w:r w:rsidRPr="00BC1E0D">
              <w:rPr>
                <w:rFonts w:eastAsia="Times New Roman" w:cs="Arial"/>
                <w:sz w:val="20"/>
                <w:szCs w:val="20"/>
                <w:lang w:eastAsia="en-GB"/>
              </w:rPr>
              <w:t>2. Broadly addressed by legislation and / or actuarial and / or financial reporting standards and further elaborated through supervisory guidelines</w:t>
            </w:r>
          </w:p>
        </w:tc>
        <w:tc>
          <w:tcPr>
            <w:tcW w:w="0" w:type="auto"/>
          </w:tcPr>
          <w:p w14:paraId="4CFC915B" w14:textId="77777777" w:rsidR="00BC1E0D" w:rsidRPr="00BC1E0D" w:rsidRDefault="00BC1E0D" w:rsidP="00194C4C">
            <w:pPr>
              <w:rPr>
                <w:rFonts w:cs="Arial"/>
                <w:sz w:val="20"/>
                <w:szCs w:val="20"/>
              </w:rPr>
            </w:pPr>
            <w:r w:rsidRPr="00BC1E0D">
              <w:rPr>
                <w:rFonts w:eastAsia="Times New Roman" w:cs="Arial"/>
                <w:sz w:val="20"/>
                <w:szCs w:val="20"/>
                <w:lang w:eastAsia="en-GB"/>
              </w:rPr>
              <w:t>3. Not addressed by legislation or actuarial and / or financial reporting standards, but addressed through supervisory guidelines</w:t>
            </w:r>
          </w:p>
        </w:tc>
        <w:tc>
          <w:tcPr>
            <w:tcW w:w="0" w:type="auto"/>
          </w:tcPr>
          <w:p w14:paraId="10613717" w14:textId="77777777" w:rsidR="00BC1E0D" w:rsidRPr="00BC1E0D" w:rsidRDefault="00BC1E0D" w:rsidP="00194C4C">
            <w:pPr>
              <w:rPr>
                <w:rFonts w:cs="Arial"/>
                <w:sz w:val="20"/>
                <w:szCs w:val="20"/>
              </w:rPr>
            </w:pPr>
            <w:r w:rsidRPr="00BC1E0D">
              <w:rPr>
                <w:rFonts w:eastAsia="Times New Roman" w:cs="Arial"/>
                <w:sz w:val="20"/>
                <w:szCs w:val="20"/>
                <w:lang w:eastAsia="en-GB"/>
              </w:rPr>
              <w:t>4. There are no specific requirements, but insurers are advised when supervisory expectations are not being met</w:t>
            </w:r>
          </w:p>
        </w:tc>
        <w:tc>
          <w:tcPr>
            <w:tcW w:w="0" w:type="auto"/>
          </w:tcPr>
          <w:p w14:paraId="7C8B1776" w14:textId="77777777" w:rsidR="00BC1E0D" w:rsidRPr="00BC1E0D" w:rsidRDefault="00BC1E0D" w:rsidP="00194C4C">
            <w:pPr>
              <w:rPr>
                <w:rFonts w:cs="Arial"/>
                <w:sz w:val="20"/>
                <w:szCs w:val="20"/>
              </w:rPr>
            </w:pPr>
            <w:r w:rsidRPr="00BC1E0D">
              <w:rPr>
                <w:rFonts w:eastAsia="Times New Roman" w:cs="Arial"/>
                <w:sz w:val="20"/>
                <w:szCs w:val="20"/>
                <w:lang w:eastAsia="en-GB"/>
              </w:rPr>
              <w:t>5. There are no specific requirements or supervisory expectations</w:t>
            </w:r>
          </w:p>
        </w:tc>
      </w:tr>
      <w:tr w:rsidR="00BC1E0D" w:rsidRPr="00BC1E0D" w14:paraId="26B05A9B" w14:textId="77777777" w:rsidTr="00194C4C">
        <w:tc>
          <w:tcPr>
            <w:tcW w:w="0" w:type="auto"/>
          </w:tcPr>
          <w:p w14:paraId="25D7E0DB" w14:textId="2DF86730" w:rsidR="00BC1E0D" w:rsidRPr="00BC1E0D" w:rsidRDefault="00E764EC" w:rsidP="00194C4C">
            <w:pPr>
              <w:rPr>
                <w:rFonts w:cs="Arial"/>
                <w:sz w:val="20"/>
                <w:szCs w:val="20"/>
              </w:rPr>
            </w:pPr>
            <w:r>
              <w:rPr>
                <w:rFonts w:cs="Arial"/>
                <w:sz w:val="20"/>
                <w:szCs w:val="20"/>
              </w:rPr>
              <w:t>A</w:t>
            </w:r>
            <w:r w:rsidR="00BC1E0D" w:rsidRPr="00BC1E0D">
              <w:rPr>
                <w:rFonts w:cs="Arial"/>
                <w:sz w:val="20"/>
                <w:szCs w:val="20"/>
              </w:rPr>
              <w:t>. Recognition of assets</w:t>
            </w:r>
          </w:p>
        </w:tc>
        <w:tc>
          <w:tcPr>
            <w:tcW w:w="0" w:type="auto"/>
          </w:tcPr>
          <w:p w14:paraId="65D9FE5C" w14:textId="77777777" w:rsidR="00BC1E0D" w:rsidRPr="00BC1E0D" w:rsidRDefault="00BC1E0D" w:rsidP="00194C4C">
            <w:pPr>
              <w:rPr>
                <w:rFonts w:cs="Arial"/>
                <w:sz w:val="20"/>
                <w:szCs w:val="20"/>
              </w:rPr>
            </w:pPr>
          </w:p>
        </w:tc>
        <w:tc>
          <w:tcPr>
            <w:tcW w:w="0" w:type="auto"/>
          </w:tcPr>
          <w:p w14:paraId="76FFF03A" w14:textId="77777777" w:rsidR="00BC1E0D" w:rsidRPr="00BC1E0D" w:rsidRDefault="00BC1E0D" w:rsidP="00194C4C">
            <w:pPr>
              <w:rPr>
                <w:rFonts w:cs="Arial"/>
                <w:sz w:val="20"/>
                <w:szCs w:val="20"/>
              </w:rPr>
            </w:pPr>
          </w:p>
        </w:tc>
        <w:tc>
          <w:tcPr>
            <w:tcW w:w="0" w:type="auto"/>
          </w:tcPr>
          <w:p w14:paraId="53AFD4FC" w14:textId="77777777" w:rsidR="00BC1E0D" w:rsidRPr="00BC1E0D" w:rsidRDefault="00BC1E0D" w:rsidP="00194C4C">
            <w:pPr>
              <w:rPr>
                <w:rFonts w:cs="Arial"/>
                <w:sz w:val="20"/>
                <w:szCs w:val="20"/>
              </w:rPr>
            </w:pPr>
          </w:p>
        </w:tc>
        <w:tc>
          <w:tcPr>
            <w:tcW w:w="0" w:type="auto"/>
          </w:tcPr>
          <w:p w14:paraId="1B8AA163" w14:textId="77777777" w:rsidR="00BC1E0D" w:rsidRPr="00BC1E0D" w:rsidRDefault="00BC1E0D" w:rsidP="00194C4C">
            <w:pPr>
              <w:rPr>
                <w:rFonts w:cs="Arial"/>
                <w:sz w:val="20"/>
                <w:szCs w:val="20"/>
              </w:rPr>
            </w:pPr>
          </w:p>
        </w:tc>
        <w:tc>
          <w:tcPr>
            <w:tcW w:w="0" w:type="auto"/>
          </w:tcPr>
          <w:p w14:paraId="305E24A3" w14:textId="77777777" w:rsidR="00BC1E0D" w:rsidRPr="00BC1E0D" w:rsidRDefault="00BC1E0D" w:rsidP="00194C4C">
            <w:pPr>
              <w:rPr>
                <w:rFonts w:cs="Arial"/>
                <w:sz w:val="20"/>
                <w:szCs w:val="20"/>
              </w:rPr>
            </w:pPr>
          </w:p>
        </w:tc>
      </w:tr>
      <w:tr w:rsidR="00BC1E0D" w:rsidRPr="00BC1E0D" w14:paraId="636953E8" w14:textId="77777777" w:rsidTr="00194C4C">
        <w:tc>
          <w:tcPr>
            <w:tcW w:w="0" w:type="auto"/>
          </w:tcPr>
          <w:p w14:paraId="5690BA88" w14:textId="3C581E88" w:rsidR="00BC1E0D" w:rsidRPr="00BC1E0D" w:rsidRDefault="00E764EC" w:rsidP="00194C4C">
            <w:pPr>
              <w:rPr>
                <w:rFonts w:cs="Arial"/>
                <w:sz w:val="20"/>
                <w:szCs w:val="20"/>
              </w:rPr>
            </w:pPr>
            <w:r>
              <w:rPr>
                <w:rFonts w:cs="Arial"/>
                <w:sz w:val="20"/>
                <w:szCs w:val="20"/>
              </w:rPr>
              <w:t>B</w:t>
            </w:r>
            <w:r w:rsidR="00BC1E0D" w:rsidRPr="00BC1E0D">
              <w:rPr>
                <w:rFonts w:cs="Arial"/>
                <w:sz w:val="20"/>
                <w:szCs w:val="20"/>
              </w:rPr>
              <w:t>. Derecognition of assets</w:t>
            </w:r>
          </w:p>
        </w:tc>
        <w:tc>
          <w:tcPr>
            <w:tcW w:w="0" w:type="auto"/>
          </w:tcPr>
          <w:p w14:paraId="0950E587" w14:textId="77777777" w:rsidR="00BC1E0D" w:rsidRPr="00BC1E0D" w:rsidRDefault="00BC1E0D" w:rsidP="00194C4C">
            <w:pPr>
              <w:rPr>
                <w:rFonts w:cs="Arial"/>
                <w:sz w:val="20"/>
                <w:szCs w:val="20"/>
              </w:rPr>
            </w:pPr>
          </w:p>
        </w:tc>
        <w:tc>
          <w:tcPr>
            <w:tcW w:w="0" w:type="auto"/>
          </w:tcPr>
          <w:p w14:paraId="7F8211A7" w14:textId="77777777" w:rsidR="00BC1E0D" w:rsidRPr="00BC1E0D" w:rsidRDefault="00BC1E0D" w:rsidP="00194C4C">
            <w:pPr>
              <w:rPr>
                <w:rFonts w:cs="Arial"/>
                <w:sz w:val="20"/>
                <w:szCs w:val="20"/>
              </w:rPr>
            </w:pPr>
          </w:p>
        </w:tc>
        <w:tc>
          <w:tcPr>
            <w:tcW w:w="0" w:type="auto"/>
          </w:tcPr>
          <w:p w14:paraId="3BEC3AEA" w14:textId="77777777" w:rsidR="00BC1E0D" w:rsidRPr="00BC1E0D" w:rsidRDefault="00BC1E0D" w:rsidP="00194C4C">
            <w:pPr>
              <w:rPr>
                <w:rFonts w:cs="Arial"/>
                <w:sz w:val="20"/>
                <w:szCs w:val="20"/>
              </w:rPr>
            </w:pPr>
          </w:p>
        </w:tc>
        <w:tc>
          <w:tcPr>
            <w:tcW w:w="0" w:type="auto"/>
          </w:tcPr>
          <w:p w14:paraId="709CF799" w14:textId="77777777" w:rsidR="00BC1E0D" w:rsidRPr="00BC1E0D" w:rsidRDefault="00BC1E0D" w:rsidP="00194C4C">
            <w:pPr>
              <w:rPr>
                <w:rFonts w:cs="Arial"/>
                <w:sz w:val="20"/>
                <w:szCs w:val="20"/>
              </w:rPr>
            </w:pPr>
          </w:p>
        </w:tc>
        <w:tc>
          <w:tcPr>
            <w:tcW w:w="0" w:type="auto"/>
          </w:tcPr>
          <w:p w14:paraId="50D3AB8E" w14:textId="77777777" w:rsidR="00BC1E0D" w:rsidRPr="00BC1E0D" w:rsidRDefault="00BC1E0D" w:rsidP="00194C4C">
            <w:pPr>
              <w:rPr>
                <w:rFonts w:cs="Arial"/>
                <w:sz w:val="20"/>
                <w:szCs w:val="20"/>
              </w:rPr>
            </w:pPr>
          </w:p>
        </w:tc>
      </w:tr>
      <w:tr w:rsidR="00BC1E0D" w:rsidRPr="00BC1E0D" w14:paraId="63DFB95A" w14:textId="77777777" w:rsidTr="00194C4C">
        <w:tc>
          <w:tcPr>
            <w:tcW w:w="0" w:type="auto"/>
          </w:tcPr>
          <w:p w14:paraId="5AC4C5A5" w14:textId="34DEAF77" w:rsidR="00BC1E0D" w:rsidRPr="00BC1E0D" w:rsidRDefault="00E764EC" w:rsidP="00194C4C">
            <w:pPr>
              <w:rPr>
                <w:rFonts w:cs="Arial"/>
                <w:sz w:val="20"/>
                <w:szCs w:val="20"/>
              </w:rPr>
            </w:pPr>
            <w:r>
              <w:rPr>
                <w:rFonts w:cs="Arial"/>
                <w:sz w:val="20"/>
                <w:szCs w:val="20"/>
              </w:rPr>
              <w:lastRenderedPageBreak/>
              <w:t>C</w:t>
            </w:r>
            <w:r w:rsidR="00BC1E0D" w:rsidRPr="00BC1E0D">
              <w:rPr>
                <w:rFonts w:cs="Arial"/>
                <w:sz w:val="20"/>
                <w:szCs w:val="20"/>
              </w:rPr>
              <w:t>. Measurement of assets</w:t>
            </w:r>
          </w:p>
        </w:tc>
        <w:tc>
          <w:tcPr>
            <w:tcW w:w="0" w:type="auto"/>
          </w:tcPr>
          <w:p w14:paraId="49DF2707" w14:textId="77777777" w:rsidR="00BC1E0D" w:rsidRPr="00BC1E0D" w:rsidRDefault="00BC1E0D" w:rsidP="00194C4C">
            <w:pPr>
              <w:rPr>
                <w:rFonts w:cs="Arial"/>
                <w:sz w:val="20"/>
                <w:szCs w:val="20"/>
              </w:rPr>
            </w:pPr>
          </w:p>
        </w:tc>
        <w:tc>
          <w:tcPr>
            <w:tcW w:w="0" w:type="auto"/>
          </w:tcPr>
          <w:p w14:paraId="10E91A74" w14:textId="77777777" w:rsidR="00BC1E0D" w:rsidRPr="00BC1E0D" w:rsidRDefault="00BC1E0D" w:rsidP="00194C4C">
            <w:pPr>
              <w:rPr>
                <w:rFonts w:cs="Arial"/>
                <w:sz w:val="20"/>
                <w:szCs w:val="20"/>
              </w:rPr>
            </w:pPr>
          </w:p>
        </w:tc>
        <w:tc>
          <w:tcPr>
            <w:tcW w:w="0" w:type="auto"/>
          </w:tcPr>
          <w:p w14:paraId="59A87EA0" w14:textId="77777777" w:rsidR="00BC1E0D" w:rsidRPr="00BC1E0D" w:rsidRDefault="00BC1E0D" w:rsidP="00194C4C">
            <w:pPr>
              <w:rPr>
                <w:rFonts w:cs="Arial"/>
                <w:sz w:val="20"/>
                <w:szCs w:val="20"/>
              </w:rPr>
            </w:pPr>
          </w:p>
        </w:tc>
        <w:tc>
          <w:tcPr>
            <w:tcW w:w="0" w:type="auto"/>
          </w:tcPr>
          <w:p w14:paraId="300E9997" w14:textId="77777777" w:rsidR="00BC1E0D" w:rsidRPr="00BC1E0D" w:rsidRDefault="00BC1E0D" w:rsidP="00194C4C">
            <w:pPr>
              <w:rPr>
                <w:rFonts w:cs="Arial"/>
                <w:sz w:val="20"/>
                <w:szCs w:val="20"/>
              </w:rPr>
            </w:pPr>
          </w:p>
        </w:tc>
        <w:tc>
          <w:tcPr>
            <w:tcW w:w="0" w:type="auto"/>
          </w:tcPr>
          <w:p w14:paraId="3B270B0D" w14:textId="77777777" w:rsidR="00BC1E0D" w:rsidRPr="00BC1E0D" w:rsidRDefault="00BC1E0D" w:rsidP="00194C4C">
            <w:pPr>
              <w:rPr>
                <w:rFonts w:cs="Arial"/>
                <w:sz w:val="20"/>
                <w:szCs w:val="20"/>
              </w:rPr>
            </w:pPr>
          </w:p>
        </w:tc>
      </w:tr>
      <w:tr w:rsidR="00BC1E0D" w:rsidRPr="007B230E" w14:paraId="36887C1C" w14:textId="77777777" w:rsidTr="00194C4C">
        <w:tc>
          <w:tcPr>
            <w:tcW w:w="0" w:type="auto"/>
          </w:tcPr>
          <w:p w14:paraId="18D6A46A" w14:textId="7F6190E3" w:rsidR="00BC1E0D" w:rsidRPr="00BC1E0D" w:rsidRDefault="00E764EC" w:rsidP="00194C4C">
            <w:pPr>
              <w:rPr>
                <w:rFonts w:cs="Arial"/>
                <w:sz w:val="20"/>
                <w:szCs w:val="20"/>
              </w:rPr>
            </w:pPr>
            <w:r>
              <w:rPr>
                <w:rFonts w:cs="Arial"/>
                <w:sz w:val="20"/>
                <w:szCs w:val="20"/>
              </w:rPr>
              <w:t>D</w:t>
            </w:r>
            <w:r w:rsidR="00BC1E0D" w:rsidRPr="00BC1E0D">
              <w:rPr>
                <w:rFonts w:cs="Arial"/>
                <w:sz w:val="20"/>
                <w:szCs w:val="20"/>
              </w:rPr>
              <w:t>. Recognition of insurance liabilities</w:t>
            </w:r>
          </w:p>
        </w:tc>
        <w:tc>
          <w:tcPr>
            <w:tcW w:w="0" w:type="auto"/>
          </w:tcPr>
          <w:p w14:paraId="7D6E2D80" w14:textId="77777777" w:rsidR="00BC1E0D" w:rsidRPr="00BC1E0D" w:rsidRDefault="00BC1E0D" w:rsidP="00194C4C">
            <w:pPr>
              <w:rPr>
                <w:rFonts w:cs="Arial"/>
                <w:sz w:val="20"/>
                <w:szCs w:val="20"/>
              </w:rPr>
            </w:pPr>
          </w:p>
        </w:tc>
        <w:tc>
          <w:tcPr>
            <w:tcW w:w="0" w:type="auto"/>
          </w:tcPr>
          <w:p w14:paraId="06D49425" w14:textId="77777777" w:rsidR="00BC1E0D" w:rsidRPr="00BC1E0D" w:rsidRDefault="00BC1E0D" w:rsidP="00194C4C">
            <w:pPr>
              <w:rPr>
                <w:rFonts w:cs="Arial"/>
                <w:sz w:val="20"/>
                <w:szCs w:val="20"/>
              </w:rPr>
            </w:pPr>
          </w:p>
        </w:tc>
        <w:tc>
          <w:tcPr>
            <w:tcW w:w="0" w:type="auto"/>
          </w:tcPr>
          <w:p w14:paraId="244400AC" w14:textId="77777777" w:rsidR="00BC1E0D" w:rsidRPr="00BC1E0D" w:rsidRDefault="00BC1E0D" w:rsidP="00194C4C">
            <w:pPr>
              <w:rPr>
                <w:rFonts w:cs="Arial"/>
                <w:sz w:val="20"/>
                <w:szCs w:val="20"/>
              </w:rPr>
            </w:pPr>
          </w:p>
        </w:tc>
        <w:tc>
          <w:tcPr>
            <w:tcW w:w="0" w:type="auto"/>
          </w:tcPr>
          <w:p w14:paraId="5FDA86EC" w14:textId="77777777" w:rsidR="00BC1E0D" w:rsidRPr="00BC1E0D" w:rsidRDefault="00BC1E0D" w:rsidP="00194C4C">
            <w:pPr>
              <w:rPr>
                <w:rFonts w:cs="Arial"/>
                <w:sz w:val="20"/>
                <w:szCs w:val="20"/>
              </w:rPr>
            </w:pPr>
          </w:p>
        </w:tc>
        <w:tc>
          <w:tcPr>
            <w:tcW w:w="0" w:type="auto"/>
          </w:tcPr>
          <w:p w14:paraId="5D76EDAA" w14:textId="77777777" w:rsidR="00BC1E0D" w:rsidRPr="00BC1E0D" w:rsidRDefault="00BC1E0D" w:rsidP="00194C4C">
            <w:pPr>
              <w:rPr>
                <w:rFonts w:cs="Arial"/>
                <w:sz w:val="20"/>
                <w:szCs w:val="20"/>
              </w:rPr>
            </w:pPr>
          </w:p>
        </w:tc>
      </w:tr>
      <w:tr w:rsidR="00BC1E0D" w:rsidRPr="007B230E" w14:paraId="6BD12009" w14:textId="77777777" w:rsidTr="00194C4C">
        <w:tc>
          <w:tcPr>
            <w:tcW w:w="0" w:type="auto"/>
          </w:tcPr>
          <w:p w14:paraId="2D0E007C" w14:textId="704CDAD6" w:rsidR="00BC1E0D" w:rsidRPr="00BC1E0D" w:rsidRDefault="00E764EC" w:rsidP="00194C4C">
            <w:pPr>
              <w:rPr>
                <w:rFonts w:cs="Arial"/>
                <w:sz w:val="20"/>
                <w:szCs w:val="20"/>
              </w:rPr>
            </w:pPr>
            <w:r>
              <w:rPr>
                <w:rFonts w:cs="Arial"/>
                <w:sz w:val="20"/>
                <w:szCs w:val="20"/>
              </w:rPr>
              <w:t>E</w:t>
            </w:r>
            <w:r w:rsidR="00BC1E0D" w:rsidRPr="00BC1E0D">
              <w:rPr>
                <w:rFonts w:cs="Arial"/>
                <w:sz w:val="20"/>
                <w:szCs w:val="20"/>
              </w:rPr>
              <w:t>. Derecognition of insurance liabilities</w:t>
            </w:r>
          </w:p>
        </w:tc>
        <w:tc>
          <w:tcPr>
            <w:tcW w:w="0" w:type="auto"/>
          </w:tcPr>
          <w:p w14:paraId="0D356560" w14:textId="77777777" w:rsidR="00BC1E0D" w:rsidRPr="00BC1E0D" w:rsidRDefault="00BC1E0D" w:rsidP="00194C4C">
            <w:pPr>
              <w:rPr>
                <w:rFonts w:cs="Arial"/>
                <w:sz w:val="20"/>
                <w:szCs w:val="20"/>
              </w:rPr>
            </w:pPr>
          </w:p>
        </w:tc>
        <w:tc>
          <w:tcPr>
            <w:tcW w:w="0" w:type="auto"/>
          </w:tcPr>
          <w:p w14:paraId="547EBC8F" w14:textId="77777777" w:rsidR="00BC1E0D" w:rsidRPr="00BC1E0D" w:rsidRDefault="00BC1E0D" w:rsidP="00194C4C">
            <w:pPr>
              <w:rPr>
                <w:rFonts w:cs="Arial"/>
                <w:sz w:val="20"/>
                <w:szCs w:val="20"/>
              </w:rPr>
            </w:pPr>
          </w:p>
        </w:tc>
        <w:tc>
          <w:tcPr>
            <w:tcW w:w="0" w:type="auto"/>
          </w:tcPr>
          <w:p w14:paraId="1D14ABFE" w14:textId="77777777" w:rsidR="00BC1E0D" w:rsidRPr="00BC1E0D" w:rsidRDefault="00BC1E0D" w:rsidP="00194C4C">
            <w:pPr>
              <w:rPr>
                <w:rFonts w:cs="Arial"/>
                <w:sz w:val="20"/>
                <w:szCs w:val="20"/>
              </w:rPr>
            </w:pPr>
          </w:p>
        </w:tc>
        <w:tc>
          <w:tcPr>
            <w:tcW w:w="0" w:type="auto"/>
          </w:tcPr>
          <w:p w14:paraId="3D16F448" w14:textId="77777777" w:rsidR="00BC1E0D" w:rsidRPr="00BC1E0D" w:rsidRDefault="00BC1E0D" w:rsidP="00194C4C">
            <w:pPr>
              <w:rPr>
                <w:rFonts w:cs="Arial"/>
                <w:sz w:val="20"/>
                <w:szCs w:val="20"/>
              </w:rPr>
            </w:pPr>
          </w:p>
        </w:tc>
        <w:tc>
          <w:tcPr>
            <w:tcW w:w="0" w:type="auto"/>
          </w:tcPr>
          <w:p w14:paraId="34A65329" w14:textId="77777777" w:rsidR="00BC1E0D" w:rsidRPr="00BC1E0D" w:rsidRDefault="00BC1E0D" w:rsidP="00194C4C">
            <w:pPr>
              <w:rPr>
                <w:rFonts w:cs="Arial"/>
                <w:sz w:val="20"/>
                <w:szCs w:val="20"/>
              </w:rPr>
            </w:pPr>
          </w:p>
        </w:tc>
      </w:tr>
      <w:tr w:rsidR="00BC1E0D" w:rsidRPr="007B230E" w14:paraId="057B19E5" w14:textId="77777777" w:rsidTr="00194C4C">
        <w:tc>
          <w:tcPr>
            <w:tcW w:w="0" w:type="auto"/>
          </w:tcPr>
          <w:p w14:paraId="50C6F8CC" w14:textId="35A5432F" w:rsidR="00BC1E0D" w:rsidRPr="00BC1E0D" w:rsidRDefault="00E764EC" w:rsidP="00194C4C">
            <w:pPr>
              <w:rPr>
                <w:rFonts w:cs="Arial"/>
                <w:sz w:val="20"/>
                <w:szCs w:val="20"/>
              </w:rPr>
            </w:pPr>
            <w:r>
              <w:rPr>
                <w:rFonts w:cs="Arial"/>
                <w:sz w:val="20"/>
                <w:szCs w:val="20"/>
              </w:rPr>
              <w:t>F</w:t>
            </w:r>
            <w:r w:rsidR="00BC1E0D" w:rsidRPr="00BC1E0D">
              <w:rPr>
                <w:rFonts w:cs="Arial"/>
                <w:sz w:val="20"/>
                <w:szCs w:val="20"/>
              </w:rPr>
              <w:t>. Measurement of insurance liabilities</w:t>
            </w:r>
          </w:p>
        </w:tc>
        <w:tc>
          <w:tcPr>
            <w:tcW w:w="0" w:type="auto"/>
          </w:tcPr>
          <w:p w14:paraId="7C4389F0" w14:textId="77777777" w:rsidR="00BC1E0D" w:rsidRPr="00BC1E0D" w:rsidRDefault="00BC1E0D" w:rsidP="00194C4C">
            <w:pPr>
              <w:rPr>
                <w:rFonts w:cs="Arial"/>
                <w:sz w:val="20"/>
                <w:szCs w:val="20"/>
              </w:rPr>
            </w:pPr>
          </w:p>
        </w:tc>
        <w:tc>
          <w:tcPr>
            <w:tcW w:w="0" w:type="auto"/>
          </w:tcPr>
          <w:p w14:paraId="460FC89A" w14:textId="77777777" w:rsidR="00BC1E0D" w:rsidRPr="00BC1E0D" w:rsidRDefault="00BC1E0D" w:rsidP="00194C4C">
            <w:pPr>
              <w:rPr>
                <w:rFonts w:cs="Arial"/>
                <w:sz w:val="20"/>
                <w:szCs w:val="20"/>
              </w:rPr>
            </w:pPr>
          </w:p>
        </w:tc>
        <w:tc>
          <w:tcPr>
            <w:tcW w:w="0" w:type="auto"/>
          </w:tcPr>
          <w:p w14:paraId="668FA511" w14:textId="77777777" w:rsidR="00BC1E0D" w:rsidRPr="00BC1E0D" w:rsidRDefault="00BC1E0D" w:rsidP="00194C4C">
            <w:pPr>
              <w:rPr>
                <w:rFonts w:cs="Arial"/>
                <w:sz w:val="20"/>
                <w:szCs w:val="20"/>
              </w:rPr>
            </w:pPr>
          </w:p>
        </w:tc>
        <w:tc>
          <w:tcPr>
            <w:tcW w:w="0" w:type="auto"/>
          </w:tcPr>
          <w:p w14:paraId="2FBC774F" w14:textId="77777777" w:rsidR="00BC1E0D" w:rsidRPr="00BC1E0D" w:rsidRDefault="00BC1E0D" w:rsidP="00194C4C">
            <w:pPr>
              <w:rPr>
                <w:rFonts w:cs="Arial"/>
                <w:sz w:val="20"/>
                <w:szCs w:val="20"/>
              </w:rPr>
            </w:pPr>
          </w:p>
        </w:tc>
        <w:tc>
          <w:tcPr>
            <w:tcW w:w="0" w:type="auto"/>
          </w:tcPr>
          <w:p w14:paraId="6C39EE62" w14:textId="77777777" w:rsidR="00BC1E0D" w:rsidRPr="00BC1E0D" w:rsidRDefault="00BC1E0D" w:rsidP="00194C4C">
            <w:pPr>
              <w:rPr>
                <w:rFonts w:cs="Arial"/>
                <w:sz w:val="20"/>
                <w:szCs w:val="20"/>
              </w:rPr>
            </w:pPr>
          </w:p>
        </w:tc>
      </w:tr>
      <w:tr w:rsidR="00BC1E0D" w:rsidRPr="00BC1E0D" w14:paraId="13FB5268" w14:textId="77777777" w:rsidTr="00194C4C">
        <w:tc>
          <w:tcPr>
            <w:tcW w:w="0" w:type="auto"/>
          </w:tcPr>
          <w:p w14:paraId="5E9D1612" w14:textId="010A8DBF" w:rsidR="00BC1E0D" w:rsidRPr="00BC1E0D" w:rsidRDefault="00E764EC" w:rsidP="00194C4C">
            <w:pPr>
              <w:rPr>
                <w:rFonts w:cs="Arial"/>
                <w:sz w:val="20"/>
                <w:szCs w:val="20"/>
              </w:rPr>
            </w:pPr>
            <w:r>
              <w:rPr>
                <w:rFonts w:cs="Arial"/>
                <w:sz w:val="20"/>
                <w:szCs w:val="20"/>
              </w:rPr>
              <w:t>G</w:t>
            </w:r>
            <w:r w:rsidR="00BC1E0D" w:rsidRPr="00BC1E0D">
              <w:rPr>
                <w:rFonts w:cs="Arial"/>
                <w:sz w:val="20"/>
                <w:szCs w:val="20"/>
              </w:rPr>
              <w:t>. Recognition of other (non-insurance) liabilities</w:t>
            </w:r>
          </w:p>
        </w:tc>
        <w:tc>
          <w:tcPr>
            <w:tcW w:w="0" w:type="auto"/>
          </w:tcPr>
          <w:p w14:paraId="4B648D00" w14:textId="77777777" w:rsidR="00BC1E0D" w:rsidRPr="00BC1E0D" w:rsidRDefault="00BC1E0D" w:rsidP="00194C4C">
            <w:pPr>
              <w:rPr>
                <w:rFonts w:cs="Arial"/>
                <w:sz w:val="20"/>
                <w:szCs w:val="20"/>
              </w:rPr>
            </w:pPr>
          </w:p>
        </w:tc>
        <w:tc>
          <w:tcPr>
            <w:tcW w:w="0" w:type="auto"/>
          </w:tcPr>
          <w:p w14:paraId="6B821862" w14:textId="77777777" w:rsidR="00BC1E0D" w:rsidRPr="00BC1E0D" w:rsidRDefault="00BC1E0D" w:rsidP="00194C4C">
            <w:pPr>
              <w:rPr>
                <w:rFonts w:cs="Arial"/>
                <w:sz w:val="20"/>
                <w:szCs w:val="20"/>
              </w:rPr>
            </w:pPr>
          </w:p>
        </w:tc>
        <w:tc>
          <w:tcPr>
            <w:tcW w:w="0" w:type="auto"/>
          </w:tcPr>
          <w:p w14:paraId="78EE4A34" w14:textId="77777777" w:rsidR="00BC1E0D" w:rsidRPr="00BC1E0D" w:rsidRDefault="00BC1E0D" w:rsidP="00194C4C">
            <w:pPr>
              <w:rPr>
                <w:rFonts w:cs="Arial"/>
                <w:sz w:val="20"/>
                <w:szCs w:val="20"/>
              </w:rPr>
            </w:pPr>
          </w:p>
        </w:tc>
        <w:tc>
          <w:tcPr>
            <w:tcW w:w="0" w:type="auto"/>
          </w:tcPr>
          <w:p w14:paraId="68A1AE97" w14:textId="77777777" w:rsidR="00BC1E0D" w:rsidRPr="00BC1E0D" w:rsidRDefault="00BC1E0D" w:rsidP="00194C4C">
            <w:pPr>
              <w:rPr>
                <w:rFonts w:cs="Arial"/>
                <w:sz w:val="20"/>
                <w:szCs w:val="20"/>
              </w:rPr>
            </w:pPr>
          </w:p>
        </w:tc>
        <w:tc>
          <w:tcPr>
            <w:tcW w:w="0" w:type="auto"/>
          </w:tcPr>
          <w:p w14:paraId="1DB3C0E2" w14:textId="77777777" w:rsidR="00BC1E0D" w:rsidRPr="00BC1E0D" w:rsidRDefault="00BC1E0D" w:rsidP="00194C4C">
            <w:pPr>
              <w:rPr>
                <w:rFonts w:cs="Arial"/>
                <w:sz w:val="20"/>
                <w:szCs w:val="20"/>
              </w:rPr>
            </w:pPr>
          </w:p>
        </w:tc>
      </w:tr>
      <w:tr w:rsidR="00BC1E0D" w:rsidRPr="007B230E" w14:paraId="4366F8B3" w14:textId="77777777" w:rsidTr="00194C4C">
        <w:tc>
          <w:tcPr>
            <w:tcW w:w="0" w:type="auto"/>
          </w:tcPr>
          <w:p w14:paraId="2B950B04" w14:textId="30DF6F34" w:rsidR="00BC1E0D" w:rsidRPr="00BC1E0D" w:rsidRDefault="00E764EC" w:rsidP="00194C4C">
            <w:pPr>
              <w:rPr>
                <w:rFonts w:cs="Arial"/>
                <w:sz w:val="20"/>
                <w:szCs w:val="20"/>
              </w:rPr>
            </w:pPr>
            <w:r>
              <w:rPr>
                <w:rFonts w:cs="Arial"/>
                <w:sz w:val="20"/>
                <w:szCs w:val="20"/>
              </w:rPr>
              <w:t>H</w:t>
            </w:r>
            <w:r w:rsidR="00BC1E0D" w:rsidRPr="00BC1E0D">
              <w:rPr>
                <w:rFonts w:cs="Arial"/>
                <w:sz w:val="20"/>
                <w:szCs w:val="20"/>
              </w:rPr>
              <w:t>. Derecognition of other (non-insurance) liabilities</w:t>
            </w:r>
          </w:p>
        </w:tc>
        <w:tc>
          <w:tcPr>
            <w:tcW w:w="0" w:type="auto"/>
          </w:tcPr>
          <w:p w14:paraId="0FD46AE1" w14:textId="77777777" w:rsidR="00BC1E0D" w:rsidRPr="00BC1E0D" w:rsidRDefault="00BC1E0D" w:rsidP="00194C4C">
            <w:pPr>
              <w:rPr>
                <w:rFonts w:cs="Arial"/>
                <w:sz w:val="20"/>
                <w:szCs w:val="20"/>
              </w:rPr>
            </w:pPr>
          </w:p>
        </w:tc>
        <w:tc>
          <w:tcPr>
            <w:tcW w:w="0" w:type="auto"/>
          </w:tcPr>
          <w:p w14:paraId="6314E5B8" w14:textId="77777777" w:rsidR="00BC1E0D" w:rsidRPr="00BC1E0D" w:rsidRDefault="00BC1E0D" w:rsidP="00194C4C">
            <w:pPr>
              <w:rPr>
                <w:rFonts w:cs="Arial"/>
                <w:sz w:val="20"/>
                <w:szCs w:val="20"/>
              </w:rPr>
            </w:pPr>
          </w:p>
        </w:tc>
        <w:tc>
          <w:tcPr>
            <w:tcW w:w="0" w:type="auto"/>
          </w:tcPr>
          <w:p w14:paraId="33BDB596" w14:textId="77777777" w:rsidR="00BC1E0D" w:rsidRPr="00BC1E0D" w:rsidRDefault="00BC1E0D" w:rsidP="00194C4C">
            <w:pPr>
              <w:rPr>
                <w:rFonts w:cs="Arial"/>
                <w:sz w:val="20"/>
                <w:szCs w:val="20"/>
              </w:rPr>
            </w:pPr>
          </w:p>
        </w:tc>
        <w:tc>
          <w:tcPr>
            <w:tcW w:w="0" w:type="auto"/>
          </w:tcPr>
          <w:p w14:paraId="0FEC0AFF" w14:textId="77777777" w:rsidR="00BC1E0D" w:rsidRPr="00BC1E0D" w:rsidRDefault="00BC1E0D" w:rsidP="00194C4C">
            <w:pPr>
              <w:rPr>
                <w:rFonts w:cs="Arial"/>
                <w:sz w:val="20"/>
                <w:szCs w:val="20"/>
              </w:rPr>
            </w:pPr>
          </w:p>
        </w:tc>
        <w:tc>
          <w:tcPr>
            <w:tcW w:w="0" w:type="auto"/>
          </w:tcPr>
          <w:p w14:paraId="6D6E8165" w14:textId="77777777" w:rsidR="00BC1E0D" w:rsidRPr="00BC1E0D" w:rsidRDefault="00BC1E0D" w:rsidP="00194C4C">
            <w:pPr>
              <w:rPr>
                <w:rFonts w:cs="Arial"/>
                <w:sz w:val="20"/>
                <w:szCs w:val="20"/>
              </w:rPr>
            </w:pPr>
          </w:p>
        </w:tc>
      </w:tr>
      <w:tr w:rsidR="00BC1E0D" w:rsidRPr="007B230E" w14:paraId="1F0EBDBB" w14:textId="77777777" w:rsidTr="00194C4C">
        <w:tc>
          <w:tcPr>
            <w:tcW w:w="0" w:type="auto"/>
          </w:tcPr>
          <w:p w14:paraId="605FD25A" w14:textId="2789D0CC" w:rsidR="00BC1E0D" w:rsidRPr="00BC1E0D" w:rsidRDefault="00E764EC" w:rsidP="00194C4C">
            <w:pPr>
              <w:rPr>
                <w:rFonts w:cs="Arial"/>
                <w:sz w:val="20"/>
                <w:szCs w:val="20"/>
              </w:rPr>
            </w:pPr>
            <w:r>
              <w:rPr>
                <w:rFonts w:cs="Arial"/>
                <w:sz w:val="20"/>
                <w:szCs w:val="20"/>
              </w:rPr>
              <w:t>I</w:t>
            </w:r>
            <w:r w:rsidR="00BC1E0D" w:rsidRPr="00BC1E0D">
              <w:rPr>
                <w:rFonts w:cs="Arial"/>
                <w:sz w:val="20"/>
                <w:szCs w:val="20"/>
              </w:rPr>
              <w:t>. Measurement of other (non-insurance) liabilities</w:t>
            </w:r>
          </w:p>
        </w:tc>
        <w:tc>
          <w:tcPr>
            <w:tcW w:w="0" w:type="auto"/>
          </w:tcPr>
          <w:p w14:paraId="5715B30A" w14:textId="77777777" w:rsidR="00BC1E0D" w:rsidRPr="00BC1E0D" w:rsidRDefault="00BC1E0D" w:rsidP="00194C4C">
            <w:pPr>
              <w:rPr>
                <w:rFonts w:cs="Arial"/>
                <w:sz w:val="20"/>
                <w:szCs w:val="20"/>
              </w:rPr>
            </w:pPr>
          </w:p>
        </w:tc>
        <w:tc>
          <w:tcPr>
            <w:tcW w:w="0" w:type="auto"/>
          </w:tcPr>
          <w:p w14:paraId="7682797F" w14:textId="77777777" w:rsidR="00BC1E0D" w:rsidRPr="00BC1E0D" w:rsidRDefault="00BC1E0D" w:rsidP="00194C4C">
            <w:pPr>
              <w:rPr>
                <w:rFonts w:cs="Arial"/>
                <w:sz w:val="20"/>
                <w:szCs w:val="20"/>
              </w:rPr>
            </w:pPr>
          </w:p>
        </w:tc>
        <w:tc>
          <w:tcPr>
            <w:tcW w:w="0" w:type="auto"/>
          </w:tcPr>
          <w:p w14:paraId="067BE870" w14:textId="77777777" w:rsidR="00BC1E0D" w:rsidRPr="00BC1E0D" w:rsidRDefault="00BC1E0D" w:rsidP="00194C4C">
            <w:pPr>
              <w:rPr>
                <w:rFonts w:cs="Arial"/>
                <w:sz w:val="20"/>
                <w:szCs w:val="20"/>
              </w:rPr>
            </w:pPr>
          </w:p>
        </w:tc>
        <w:tc>
          <w:tcPr>
            <w:tcW w:w="0" w:type="auto"/>
          </w:tcPr>
          <w:p w14:paraId="5A90C85C" w14:textId="77777777" w:rsidR="00BC1E0D" w:rsidRPr="00BC1E0D" w:rsidRDefault="00BC1E0D" w:rsidP="00194C4C">
            <w:pPr>
              <w:rPr>
                <w:rFonts w:cs="Arial"/>
                <w:sz w:val="20"/>
                <w:szCs w:val="20"/>
              </w:rPr>
            </w:pPr>
          </w:p>
        </w:tc>
        <w:tc>
          <w:tcPr>
            <w:tcW w:w="0" w:type="auto"/>
          </w:tcPr>
          <w:p w14:paraId="7F6349AF" w14:textId="77777777" w:rsidR="00BC1E0D" w:rsidRPr="00BC1E0D" w:rsidRDefault="00BC1E0D" w:rsidP="00194C4C">
            <w:pPr>
              <w:rPr>
                <w:rFonts w:cs="Arial"/>
                <w:sz w:val="20"/>
                <w:szCs w:val="20"/>
              </w:rPr>
            </w:pPr>
          </w:p>
        </w:tc>
      </w:tr>
    </w:tbl>
    <w:p w14:paraId="13916BDA" w14:textId="65DD7294" w:rsidR="00BC1E0D" w:rsidRDefault="00BC1E0D" w:rsidP="00BC1E0D">
      <w:pPr>
        <w:rPr>
          <w:rFonts w:cs="Arial"/>
          <w:lang w:val="en-US"/>
        </w:rPr>
      </w:pPr>
    </w:p>
    <w:p w14:paraId="6C1E35C3" w14:textId="77777777" w:rsidR="000B51C1" w:rsidRPr="00E764EC" w:rsidRDefault="000B51C1" w:rsidP="000B51C1">
      <w:pPr>
        <w:pStyle w:val="Default"/>
        <w:rPr>
          <w:lang w:val="en-US"/>
        </w:rPr>
      </w:pPr>
    </w:p>
    <w:p w14:paraId="5E017BB0" w14:textId="38E97408" w:rsidR="000B51C1" w:rsidRPr="000B51C1" w:rsidRDefault="00E55064" w:rsidP="000B51C1">
      <w:pPr>
        <w:pStyle w:val="Default"/>
        <w:rPr>
          <w:sz w:val="22"/>
          <w:szCs w:val="22"/>
          <w:lang w:val="en-US"/>
        </w:rPr>
      </w:pPr>
      <w:r>
        <w:rPr>
          <w:b/>
          <w:bCs/>
          <w:sz w:val="22"/>
          <w:szCs w:val="22"/>
          <w:lang w:val="en-US"/>
        </w:rPr>
        <w:t>1</w:t>
      </w:r>
      <w:r w:rsidR="00B25AB9">
        <w:rPr>
          <w:b/>
          <w:bCs/>
          <w:sz w:val="22"/>
          <w:szCs w:val="22"/>
          <w:lang w:val="en-US"/>
        </w:rPr>
        <w:t>4</w:t>
      </w:r>
      <w:r>
        <w:rPr>
          <w:b/>
          <w:bCs/>
          <w:sz w:val="22"/>
          <w:szCs w:val="22"/>
          <w:lang w:val="en-US"/>
        </w:rPr>
        <w:t>.2</w:t>
      </w:r>
      <w:r>
        <w:rPr>
          <w:b/>
          <w:bCs/>
          <w:sz w:val="22"/>
          <w:szCs w:val="22"/>
          <w:lang w:val="en-US"/>
        </w:rPr>
        <w:tab/>
      </w:r>
      <w:r w:rsidR="000B51C1" w:rsidRPr="000B51C1">
        <w:rPr>
          <w:b/>
          <w:bCs/>
          <w:sz w:val="22"/>
          <w:szCs w:val="22"/>
          <w:lang w:val="en-US"/>
        </w:rPr>
        <w:t xml:space="preserve">The valuation of assets and liabilities is undertaken on consistent bases. </w:t>
      </w:r>
    </w:p>
    <w:p w14:paraId="7B817559" w14:textId="77777777" w:rsidR="000B51C1" w:rsidRPr="00BC1E0D" w:rsidRDefault="000B51C1" w:rsidP="00BC1E0D">
      <w:pPr>
        <w:rPr>
          <w:rFonts w:cs="Arial"/>
          <w:lang w:val="en-US"/>
        </w:rPr>
      </w:pPr>
    </w:p>
    <w:p w14:paraId="4CE35785" w14:textId="77777777" w:rsidR="00BC1E0D" w:rsidRPr="00BC1E0D" w:rsidRDefault="00BC1E0D" w:rsidP="00BC1E0D">
      <w:pPr>
        <w:numPr>
          <w:ilvl w:val="0"/>
          <w:numId w:val="1"/>
        </w:numPr>
        <w:spacing w:after="200" w:line="276" w:lineRule="auto"/>
        <w:contextualSpacing/>
        <w:rPr>
          <w:rFonts w:cs="Arial"/>
          <w:lang w:val="en-US"/>
        </w:rPr>
      </w:pPr>
      <w:r w:rsidRPr="00BC1E0D">
        <w:rPr>
          <w:rFonts w:cs="Arial"/>
          <w:lang w:val="en-US"/>
        </w:rPr>
        <w:t>Solvency assessment based on consistent valuation of assets and liabilities is a prerequisite for obtaining a meaningful insight into the asset-liability positions of an insurer and an understanding of the financial position of an insurer relative to other insurers. Undertaking valuation on consistent bases means that differences in values of assets and liabilities can be explained in terms of the differences in the nature of the cash flows, including their timing, amount and inherent uncertainty, rather than differences in methodology or assumptions. To what extent are the valuations of assets and liabilities in YOUR JURISDICTION undertaken on consistent bases?</w:t>
      </w:r>
    </w:p>
    <w:p w14:paraId="48A1748A" w14:textId="77777777" w:rsidR="00BC1E0D" w:rsidRPr="00BC1E0D" w:rsidRDefault="00BC1E0D" w:rsidP="00BC1E0D">
      <w:pPr>
        <w:numPr>
          <w:ilvl w:val="1"/>
          <w:numId w:val="1"/>
        </w:numPr>
        <w:spacing w:after="200" w:line="276" w:lineRule="auto"/>
        <w:contextualSpacing/>
        <w:rPr>
          <w:rFonts w:cs="Arial"/>
          <w:lang w:val="en-US"/>
        </w:rPr>
      </w:pPr>
      <w:r w:rsidRPr="00BC1E0D">
        <w:rPr>
          <w:rFonts w:cs="Arial"/>
          <w:lang w:val="en-US"/>
        </w:rPr>
        <w:t>Consistency exists with respect to all assets and liabilities, including assets in excess of the liabilities, and extends across insurers and time periods.</w:t>
      </w:r>
    </w:p>
    <w:p w14:paraId="7500A932" w14:textId="77777777" w:rsidR="00BC1E0D" w:rsidRPr="00BC1E0D" w:rsidRDefault="00BC1E0D" w:rsidP="00BC1E0D">
      <w:pPr>
        <w:numPr>
          <w:ilvl w:val="1"/>
          <w:numId w:val="1"/>
        </w:numPr>
        <w:spacing w:after="200" w:line="276" w:lineRule="auto"/>
        <w:contextualSpacing/>
        <w:rPr>
          <w:rFonts w:cs="Arial"/>
          <w:lang w:val="en-US"/>
        </w:rPr>
      </w:pPr>
      <w:r w:rsidRPr="00BC1E0D">
        <w:rPr>
          <w:rFonts w:cs="Arial"/>
          <w:lang w:val="en-US"/>
        </w:rPr>
        <w:t>Consistency exists with respect to most assets and liabilities, although there is inconsistency with respect to a few types of assets and liabilities. The same areas of consistency and inconsistency extend across insurers and time periods.</w:t>
      </w:r>
    </w:p>
    <w:p w14:paraId="3567E5EA" w14:textId="77777777" w:rsidR="00BC1E0D" w:rsidRPr="00BC1E0D" w:rsidRDefault="00BC1E0D" w:rsidP="00BC1E0D">
      <w:pPr>
        <w:numPr>
          <w:ilvl w:val="1"/>
          <w:numId w:val="1"/>
        </w:numPr>
        <w:spacing w:after="200" w:line="276" w:lineRule="auto"/>
        <w:contextualSpacing/>
        <w:rPr>
          <w:rFonts w:cs="Arial"/>
          <w:lang w:val="en-US"/>
        </w:rPr>
      </w:pPr>
      <w:r w:rsidRPr="00BC1E0D">
        <w:rPr>
          <w:rFonts w:cs="Arial"/>
          <w:lang w:val="en-US"/>
        </w:rPr>
        <w:t>Consistency exists with respect to some assets and liabilities, although there is inconsistency with respect to other types of assets and liabilities. The areas of consistency and inconsistency sometimes differ across insurers or time periods.</w:t>
      </w:r>
    </w:p>
    <w:p w14:paraId="6DEC1A7F" w14:textId="77777777" w:rsidR="00BC1E0D" w:rsidRPr="00BC1E0D" w:rsidRDefault="00BC1E0D" w:rsidP="00BC1E0D">
      <w:pPr>
        <w:numPr>
          <w:ilvl w:val="1"/>
          <w:numId w:val="1"/>
        </w:numPr>
        <w:spacing w:after="200" w:line="276" w:lineRule="auto"/>
        <w:contextualSpacing/>
        <w:rPr>
          <w:rFonts w:cs="Arial"/>
          <w:lang w:val="en-US"/>
        </w:rPr>
      </w:pPr>
      <w:r w:rsidRPr="00BC1E0D">
        <w:rPr>
          <w:rFonts w:cs="Arial"/>
          <w:lang w:val="en-US"/>
        </w:rPr>
        <w:t>Consistency exists with respect to some assets and liabilities, although there is inconsistency with respect to other types of assets and liabilities. The areas of consistency and inconsistency frequently differ across insurers or time periods.</w:t>
      </w:r>
    </w:p>
    <w:p w14:paraId="15C167D6" w14:textId="77777777" w:rsidR="00BC1E0D" w:rsidRPr="00BC1E0D" w:rsidRDefault="00BC1E0D" w:rsidP="00BC1E0D">
      <w:pPr>
        <w:numPr>
          <w:ilvl w:val="1"/>
          <w:numId w:val="1"/>
        </w:numPr>
        <w:spacing w:after="200" w:line="276" w:lineRule="auto"/>
        <w:contextualSpacing/>
        <w:rPr>
          <w:rFonts w:cs="Arial"/>
        </w:rPr>
      </w:pPr>
      <w:r w:rsidRPr="00BC1E0D">
        <w:rPr>
          <w:rFonts w:cs="Arial"/>
        </w:rPr>
        <w:t>Consistency is generally lacking.</w:t>
      </w:r>
    </w:p>
    <w:p w14:paraId="3EF2820D" w14:textId="7FF72988" w:rsidR="000020D3" w:rsidRDefault="000020D3">
      <w:pPr>
        <w:spacing w:after="160" w:line="259" w:lineRule="auto"/>
        <w:rPr>
          <w:rFonts w:cs="Arial"/>
          <w:color w:val="000000"/>
          <w:sz w:val="24"/>
          <w:szCs w:val="24"/>
          <w:lang w:eastAsia="zh-CN"/>
        </w:rPr>
      </w:pPr>
      <w:r>
        <w:br w:type="page"/>
      </w:r>
    </w:p>
    <w:p w14:paraId="7873F10E" w14:textId="6F151F36" w:rsidR="000B51C1" w:rsidRPr="000B51C1" w:rsidRDefault="003E7EEE" w:rsidP="003E7EEE">
      <w:pPr>
        <w:pStyle w:val="Default"/>
        <w:rPr>
          <w:sz w:val="22"/>
          <w:szCs w:val="22"/>
          <w:lang w:val="en-US"/>
        </w:rPr>
      </w:pPr>
      <w:r>
        <w:rPr>
          <w:b/>
          <w:bCs/>
          <w:sz w:val="22"/>
          <w:szCs w:val="22"/>
          <w:lang w:val="en-US"/>
        </w:rPr>
        <w:t>1</w:t>
      </w:r>
      <w:r w:rsidR="00B25AB9">
        <w:rPr>
          <w:b/>
          <w:bCs/>
          <w:sz w:val="22"/>
          <w:szCs w:val="22"/>
          <w:lang w:val="en-US"/>
        </w:rPr>
        <w:t>4</w:t>
      </w:r>
      <w:r>
        <w:rPr>
          <w:b/>
          <w:bCs/>
          <w:sz w:val="22"/>
          <w:szCs w:val="22"/>
          <w:lang w:val="en-US"/>
        </w:rPr>
        <w:t>.3</w:t>
      </w:r>
      <w:r>
        <w:rPr>
          <w:b/>
          <w:bCs/>
          <w:sz w:val="22"/>
          <w:szCs w:val="22"/>
          <w:lang w:val="en-US"/>
        </w:rPr>
        <w:tab/>
      </w:r>
      <w:r w:rsidR="000B51C1" w:rsidRPr="000B51C1">
        <w:rPr>
          <w:b/>
          <w:bCs/>
          <w:sz w:val="22"/>
          <w:szCs w:val="22"/>
          <w:lang w:val="en-US"/>
        </w:rPr>
        <w:t xml:space="preserve">The valuation of assets and liabilities is undertaken in a reliable, decision useful and transparent manner. </w:t>
      </w:r>
    </w:p>
    <w:p w14:paraId="5BA23113" w14:textId="77777777" w:rsidR="000B51C1" w:rsidRPr="000B51C1" w:rsidRDefault="000B51C1" w:rsidP="000B51C1">
      <w:pPr>
        <w:spacing w:after="200" w:line="276" w:lineRule="auto"/>
        <w:ind w:left="360"/>
        <w:contextualSpacing/>
        <w:rPr>
          <w:rFonts w:cs="Arial"/>
          <w:lang w:val="en-US"/>
        </w:rPr>
      </w:pPr>
    </w:p>
    <w:p w14:paraId="5608AB30" w14:textId="2573842B" w:rsidR="00BC1E0D" w:rsidRPr="00BC1E0D" w:rsidRDefault="00BC1E0D" w:rsidP="00BC1E0D">
      <w:pPr>
        <w:numPr>
          <w:ilvl w:val="0"/>
          <w:numId w:val="1"/>
        </w:numPr>
        <w:spacing w:after="200" w:line="276" w:lineRule="auto"/>
        <w:contextualSpacing/>
        <w:rPr>
          <w:rFonts w:cs="Arial"/>
          <w:lang w:val="en-US"/>
        </w:rPr>
      </w:pPr>
      <w:r w:rsidRPr="00BC1E0D">
        <w:rPr>
          <w:rFonts w:cs="Arial"/>
          <w:lang w:val="en-US"/>
        </w:rPr>
        <w:t>The values placed on the assets and liabilities of an insurer for solvency purposes should be a reliable measure of their value at the date of solvency assessment. To what extent are the valuations of assets and liabilities for solvency purposes in YOUR JURISDICTION undertaken in a reliable manner?</w:t>
      </w:r>
    </w:p>
    <w:p w14:paraId="259C3538" w14:textId="77777777" w:rsidR="00BC1E0D" w:rsidRPr="00BC1E0D" w:rsidRDefault="00BC1E0D" w:rsidP="00BC1E0D">
      <w:pPr>
        <w:numPr>
          <w:ilvl w:val="1"/>
          <w:numId w:val="1"/>
        </w:numPr>
        <w:spacing w:after="200" w:line="276" w:lineRule="auto"/>
        <w:contextualSpacing/>
        <w:rPr>
          <w:rFonts w:cs="Arial"/>
          <w:lang w:val="en-US"/>
        </w:rPr>
      </w:pPr>
      <w:r w:rsidRPr="00BC1E0D">
        <w:rPr>
          <w:rFonts w:cs="Arial"/>
          <w:lang w:val="en-US"/>
        </w:rPr>
        <w:t>Valuations are very reliable. Strong controls exist to ensure that they are based on appropriate data, methods, and assumptions and that subjectivity is reduced as far as practicable.</w:t>
      </w:r>
    </w:p>
    <w:p w14:paraId="74B26495" w14:textId="77777777" w:rsidR="00BC1E0D" w:rsidRPr="00BC1E0D" w:rsidRDefault="00BC1E0D" w:rsidP="00BC1E0D">
      <w:pPr>
        <w:numPr>
          <w:ilvl w:val="1"/>
          <w:numId w:val="1"/>
        </w:numPr>
        <w:spacing w:after="200" w:line="276" w:lineRule="auto"/>
        <w:contextualSpacing/>
        <w:rPr>
          <w:rFonts w:cs="Arial"/>
          <w:lang w:val="en-US"/>
        </w:rPr>
      </w:pPr>
      <w:r w:rsidRPr="00BC1E0D">
        <w:rPr>
          <w:rFonts w:cs="Arial"/>
          <w:lang w:val="en-US"/>
        </w:rPr>
        <w:t>Valuations are usually reliable. Controls exist to promote the use of appropriate data, methods, and assumptions and to limit subjectivity.</w:t>
      </w:r>
    </w:p>
    <w:p w14:paraId="7AC98DA7" w14:textId="77777777" w:rsidR="00BC1E0D" w:rsidRPr="00BC1E0D" w:rsidRDefault="00BC1E0D" w:rsidP="00BC1E0D">
      <w:pPr>
        <w:numPr>
          <w:ilvl w:val="1"/>
          <w:numId w:val="1"/>
        </w:numPr>
        <w:spacing w:after="200" w:line="276" w:lineRule="auto"/>
        <w:contextualSpacing/>
        <w:rPr>
          <w:rFonts w:cs="Arial"/>
          <w:lang w:val="en-US"/>
        </w:rPr>
      </w:pPr>
      <w:r w:rsidRPr="00BC1E0D">
        <w:rPr>
          <w:rFonts w:cs="Arial"/>
          <w:lang w:val="en-US"/>
        </w:rPr>
        <w:t>Valuations are sometimes reliable, but often they are not. Controls to promote the use of appropriate data, methods, and assumptions and to limit subjectivity are sometimes ineffective.</w:t>
      </w:r>
    </w:p>
    <w:p w14:paraId="214C44AB" w14:textId="77777777" w:rsidR="00BC1E0D" w:rsidRPr="00BC1E0D" w:rsidRDefault="00BC1E0D" w:rsidP="00BC1E0D">
      <w:pPr>
        <w:numPr>
          <w:ilvl w:val="1"/>
          <w:numId w:val="1"/>
        </w:numPr>
        <w:spacing w:after="200" w:line="276" w:lineRule="auto"/>
        <w:contextualSpacing/>
        <w:rPr>
          <w:rFonts w:cs="Arial"/>
          <w:lang w:val="en-US"/>
        </w:rPr>
      </w:pPr>
      <w:r w:rsidRPr="00BC1E0D">
        <w:rPr>
          <w:rFonts w:cs="Arial"/>
          <w:lang w:val="en-US"/>
        </w:rPr>
        <w:t>Valuations are often unreliable. Controls to promote the use of appropriate data, methods, and assumptions and to limit subjectivity are often either nonexistent or ineffective.</w:t>
      </w:r>
    </w:p>
    <w:p w14:paraId="05F3177C" w14:textId="77777777" w:rsidR="00BC1E0D" w:rsidRPr="00BC1E0D" w:rsidRDefault="00BC1E0D" w:rsidP="00BC1E0D">
      <w:pPr>
        <w:rPr>
          <w:rFonts w:cs="Arial"/>
          <w:lang w:val="en-US"/>
        </w:rPr>
      </w:pPr>
    </w:p>
    <w:p w14:paraId="59D8AED6" w14:textId="77777777" w:rsidR="00BC1E0D" w:rsidRPr="00BC1E0D" w:rsidRDefault="00BC1E0D" w:rsidP="00BC1E0D">
      <w:pPr>
        <w:numPr>
          <w:ilvl w:val="0"/>
          <w:numId w:val="1"/>
        </w:numPr>
        <w:spacing w:after="200" w:line="276" w:lineRule="auto"/>
        <w:contextualSpacing/>
        <w:rPr>
          <w:rFonts w:cs="Arial"/>
          <w:lang w:val="en-US"/>
        </w:rPr>
      </w:pPr>
      <w:r w:rsidRPr="00BC1E0D">
        <w:rPr>
          <w:rFonts w:cs="Arial"/>
          <w:lang w:val="en-US"/>
        </w:rPr>
        <w:t>The valuation of assets and liabilities of an insurer for solvency purposes should be undertaken in a manner that is useful in making judgments for solvency purposes. To what extent are the valuations of assets and liabilities for solvency purposes in YOUR JURISDICTION undertaken in a decision useful manner?</w:t>
      </w:r>
    </w:p>
    <w:p w14:paraId="68B829D2" w14:textId="77777777" w:rsidR="00BC1E0D" w:rsidRPr="00BC1E0D" w:rsidRDefault="00BC1E0D" w:rsidP="00BC1E0D">
      <w:pPr>
        <w:numPr>
          <w:ilvl w:val="1"/>
          <w:numId w:val="1"/>
        </w:numPr>
        <w:spacing w:after="200" w:line="276" w:lineRule="auto"/>
        <w:contextualSpacing/>
        <w:rPr>
          <w:rFonts w:cs="Arial"/>
          <w:lang w:val="en-US"/>
        </w:rPr>
      </w:pPr>
      <w:r w:rsidRPr="00BC1E0D">
        <w:rPr>
          <w:rFonts w:cs="Arial"/>
          <w:lang w:val="en-US"/>
        </w:rPr>
        <w:t>Valuations are very decision useful. The results seldom contain anomalies and can be used as the basis for making judgments and taking enforcement actions.</w:t>
      </w:r>
    </w:p>
    <w:p w14:paraId="7C295492" w14:textId="77777777" w:rsidR="00BC1E0D" w:rsidRPr="00BC1E0D" w:rsidRDefault="00BC1E0D" w:rsidP="00BC1E0D">
      <w:pPr>
        <w:numPr>
          <w:ilvl w:val="1"/>
          <w:numId w:val="1"/>
        </w:numPr>
        <w:spacing w:after="200" w:line="276" w:lineRule="auto"/>
        <w:contextualSpacing/>
        <w:rPr>
          <w:rFonts w:cs="Arial"/>
          <w:lang w:val="en-US"/>
        </w:rPr>
      </w:pPr>
      <w:r w:rsidRPr="00BC1E0D">
        <w:rPr>
          <w:rFonts w:cs="Arial"/>
          <w:lang w:val="en-US"/>
        </w:rPr>
        <w:t>Valuations are largely decision useful. The results sometimes contain anomalies, but generally can be used as the basis for making judgments and taking enforcement actions.</w:t>
      </w:r>
    </w:p>
    <w:p w14:paraId="589E6BD5" w14:textId="77777777" w:rsidR="00BC1E0D" w:rsidRPr="00BC1E0D" w:rsidRDefault="00BC1E0D" w:rsidP="00BC1E0D">
      <w:pPr>
        <w:numPr>
          <w:ilvl w:val="1"/>
          <w:numId w:val="1"/>
        </w:numPr>
        <w:spacing w:after="200" w:line="276" w:lineRule="auto"/>
        <w:contextualSpacing/>
        <w:rPr>
          <w:rFonts w:cs="Arial"/>
          <w:lang w:val="en-US"/>
        </w:rPr>
      </w:pPr>
      <w:r w:rsidRPr="00BC1E0D">
        <w:rPr>
          <w:rFonts w:cs="Arial"/>
          <w:lang w:val="en-US"/>
        </w:rPr>
        <w:t>Valuations are somewhat decision useful. The results often contain anomalies, which sometimes makes it difficult to use them as the basis for making judgments. The results are subject to dispute as the basis for making judgments or enforcement actions.</w:t>
      </w:r>
    </w:p>
    <w:p w14:paraId="509BC1E4" w14:textId="77777777" w:rsidR="00BC1E0D" w:rsidRPr="00BC1E0D" w:rsidRDefault="00BC1E0D" w:rsidP="00BC1E0D">
      <w:pPr>
        <w:numPr>
          <w:ilvl w:val="1"/>
          <w:numId w:val="1"/>
        </w:numPr>
        <w:spacing w:after="200" w:line="276" w:lineRule="auto"/>
        <w:contextualSpacing/>
        <w:rPr>
          <w:rFonts w:cs="Arial"/>
          <w:lang w:val="en-US"/>
        </w:rPr>
      </w:pPr>
      <w:r w:rsidRPr="00BC1E0D">
        <w:rPr>
          <w:rFonts w:cs="Arial"/>
          <w:lang w:val="en-US"/>
        </w:rPr>
        <w:t>Valuations are not decision useful. The results generally cannot be used as the basis for making judgments or taking enforcement actions.</w:t>
      </w:r>
    </w:p>
    <w:p w14:paraId="026A16CE" w14:textId="77777777" w:rsidR="00BC1E0D" w:rsidRPr="00BC1E0D" w:rsidRDefault="00BC1E0D" w:rsidP="00BC1E0D">
      <w:pPr>
        <w:rPr>
          <w:rFonts w:cs="Arial"/>
          <w:lang w:val="en-US"/>
        </w:rPr>
      </w:pPr>
    </w:p>
    <w:p w14:paraId="3AF9A18C" w14:textId="77777777" w:rsidR="00BC1E0D" w:rsidRPr="00BC1E0D" w:rsidRDefault="00BC1E0D" w:rsidP="00BC1E0D">
      <w:pPr>
        <w:numPr>
          <w:ilvl w:val="0"/>
          <w:numId w:val="1"/>
        </w:numPr>
        <w:spacing w:after="200" w:line="276" w:lineRule="auto"/>
        <w:contextualSpacing/>
        <w:rPr>
          <w:rFonts w:cs="Arial"/>
          <w:lang w:val="en-US"/>
        </w:rPr>
      </w:pPr>
      <w:r w:rsidRPr="00BC1E0D">
        <w:rPr>
          <w:rFonts w:cs="Arial"/>
          <w:lang w:val="en-US"/>
        </w:rPr>
        <w:t>The valuation of assets and liabilities of an insurer for solvency purposes should be undertaken in a transparent manner, with appropriate public disclosure and additional confidential reporting to the supervisor. To what extent are the valuations of assets and liabilities for solvency purposes in YOUR JURISDICTION undertaken in a transparent manner?</w:t>
      </w:r>
    </w:p>
    <w:p w14:paraId="15B740FF" w14:textId="77777777" w:rsidR="00BC1E0D" w:rsidRPr="00BC1E0D" w:rsidRDefault="00BC1E0D" w:rsidP="00BC1E0D">
      <w:pPr>
        <w:numPr>
          <w:ilvl w:val="1"/>
          <w:numId w:val="1"/>
        </w:numPr>
        <w:spacing w:after="200" w:line="276" w:lineRule="auto"/>
        <w:contextualSpacing/>
        <w:rPr>
          <w:rFonts w:cs="Arial"/>
          <w:lang w:val="en-US"/>
        </w:rPr>
      </w:pPr>
      <w:r w:rsidRPr="00BC1E0D">
        <w:rPr>
          <w:rFonts w:cs="Arial"/>
          <w:lang w:val="en-US"/>
        </w:rPr>
        <w:t>Valuations are very transparent. Insurers provide sufficient information to both the public and the supervisor about the approaches they have taken to the valuation of assets and liabilities.</w:t>
      </w:r>
    </w:p>
    <w:p w14:paraId="3245258B" w14:textId="77777777" w:rsidR="00BC1E0D" w:rsidRPr="00BC1E0D" w:rsidRDefault="00BC1E0D" w:rsidP="00BC1E0D">
      <w:pPr>
        <w:numPr>
          <w:ilvl w:val="1"/>
          <w:numId w:val="1"/>
        </w:numPr>
        <w:spacing w:after="200" w:line="276" w:lineRule="auto"/>
        <w:contextualSpacing/>
        <w:rPr>
          <w:rFonts w:cs="Arial"/>
          <w:lang w:val="en-US"/>
        </w:rPr>
      </w:pPr>
      <w:r w:rsidRPr="00BC1E0D">
        <w:rPr>
          <w:rFonts w:cs="Arial"/>
          <w:lang w:val="en-US"/>
        </w:rPr>
        <w:t>Valuations are largely transparent. Insurers provide information to both the public and the supervisor about the approaches they have taken to the valuation of assets and liabilities, but such information is sometimes insufficient. YOUR AUTHORITY is readily able to obtain the necessary information upon request.</w:t>
      </w:r>
    </w:p>
    <w:p w14:paraId="21BE1419" w14:textId="77777777" w:rsidR="00BC1E0D" w:rsidRPr="00BC1E0D" w:rsidRDefault="00BC1E0D" w:rsidP="00BC1E0D">
      <w:pPr>
        <w:numPr>
          <w:ilvl w:val="1"/>
          <w:numId w:val="1"/>
        </w:numPr>
        <w:spacing w:after="200" w:line="276" w:lineRule="auto"/>
        <w:contextualSpacing/>
        <w:rPr>
          <w:rFonts w:cs="Arial"/>
          <w:lang w:val="en-US"/>
        </w:rPr>
      </w:pPr>
      <w:r w:rsidRPr="00BC1E0D">
        <w:rPr>
          <w:rFonts w:cs="Arial"/>
          <w:lang w:val="en-US"/>
        </w:rPr>
        <w:t>Valuations are somewhat transparent. Insurers provide some information to both the public and the supervisor about the approaches they have taken to the valuation of assets and liabilities, but such information is often insufficient. YOUR AUTHORITY sometimes experiences difficulty in obtaining the necessary information.</w:t>
      </w:r>
    </w:p>
    <w:p w14:paraId="1415CB51" w14:textId="77777777" w:rsidR="00BC1E0D" w:rsidRPr="00BC1E0D" w:rsidRDefault="00BC1E0D" w:rsidP="00BC1E0D">
      <w:pPr>
        <w:numPr>
          <w:ilvl w:val="1"/>
          <w:numId w:val="1"/>
        </w:numPr>
        <w:spacing w:after="200" w:line="276" w:lineRule="auto"/>
        <w:contextualSpacing/>
        <w:rPr>
          <w:rFonts w:cs="Arial"/>
          <w:lang w:val="en-US"/>
        </w:rPr>
      </w:pPr>
      <w:r w:rsidRPr="00BC1E0D">
        <w:rPr>
          <w:rFonts w:cs="Arial"/>
          <w:lang w:val="en-US"/>
        </w:rPr>
        <w:t>Valuations are not transparent. Insurers provide little information to either the public or the supervisor about the approaches they have taken to the valuation of assets and liabilities. YOUR AUTHORITY often experiences difficulty in obtaining the necessary information.</w:t>
      </w:r>
    </w:p>
    <w:p w14:paraId="3F526810" w14:textId="77777777" w:rsidR="000B51C1" w:rsidRPr="00E764EC" w:rsidRDefault="000B51C1" w:rsidP="000B51C1">
      <w:pPr>
        <w:pStyle w:val="Default"/>
        <w:ind w:left="360"/>
        <w:rPr>
          <w:lang w:val="en-US"/>
        </w:rPr>
      </w:pPr>
    </w:p>
    <w:p w14:paraId="576F033B" w14:textId="185B3F53" w:rsidR="000B51C1" w:rsidRPr="000B51C1" w:rsidRDefault="0046068E" w:rsidP="0046068E">
      <w:pPr>
        <w:pStyle w:val="Default"/>
        <w:rPr>
          <w:sz w:val="22"/>
          <w:szCs w:val="22"/>
          <w:lang w:val="en-US"/>
        </w:rPr>
      </w:pPr>
      <w:r>
        <w:rPr>
          <w:b/>
          <w:bCs/>
          <w:sz w:val="22"/>
          <w:szCs w:val="22"/>
          <w:lang w:val="en-US"/>
        </w:rPr>
        <w:t>1</w:t>
      </w:r>
      <w:r w:rsidR="00B25AB9">
        <w:rPr>
          <w:b/>
          <w:bCs/>
          <w:sz w:val="22"/>
          <w:szCs w:val="22"/>
          <w:lang w:val="en-US"/>
        </w:rPr>
        <w:t>4</w:t>
      </w:r>
      <w:r>
        <w:rPr>
          <w:b/>
          <w:bCs/>
          <w:sz w:val="22"/>
          <w:szCs w:val="22"/>
          <w:lang w:val="en-US"/>
        </w:rPr>
        <w:t>.4</w:t>
      </w:r>
      <w:r>
        <w:rPr>
          <w:b/>
          <w:bCs/>
          <w:sz w:val="22"/>
          <w:szCs w:val="22"/>
          <w:lang w:val="en-US"/>
        </w:rPr>
        <w:tab/>
      </w:r>
      <w:r w:rsidR="000B51C1" w:rsidRPr="000B51C1">
        <w:rPr>
          <w:b/>
          <w:bCs/>
          <w:sz w:val="22"/>
          <w:szCs w:val="22"/>
          <w:lang w:val="en-US"/>
        </w:rPr>
        <w:t xml:space="preserve">The valuation of assets and liabilities is an economic valuation. </w:t>
      </w:r>
    </w:p>
    <w:p w14:paraId="232599CD" w14:textId="77777777" w:rsidR="00BC1E0D" w:rsidRPr="00BC1E0D" w:rsidRDefault="00BC1E0D" w:rsidP="00BC1E0D">
      <w:pPr>
        <w:rPr>
          <w:rFonts w:cs="Arial"/>
          <w:lang w:val="en-US"/>
        </w:rPr>
      </w:pPr>
    </w:p>
    <w:p w14:paraId="748A09DD" w14:textId="77777777" w:rsidR="00BC1E0D" w:rsidRPr="00BC1E0D" w:rsidRDefault="00BC1E0D" w:rsidP="00BC1E0D">
      <w:pPr>
        <w:numPr>
          <w:ilvl w:val="0"/>
          <w:numId w:val="1"/>
        </w:numPr>
        <w:spacing w:after="200" w:line="276" w:lineRule="auto"/>
        <w:contextualSpacing/>
        <w:rPr>
          <w:rFonts w:cs="Arial"/>
          <w:lang w:val="en-US"/>
        </w:rPr>
      </w:pPr>
      <w:r w:rsidRPr="00BC1E0D">
        <w:rPr>
          <w:rFonts w:cs="Arial"/>
          <w:lang w:val="en-US"/>
        </w:rPr>
        <w:t>The valuation of assets and liabilities of an insurer for solvency purposes should be an economic valuation, such that the resulting assessment of an insurer’s financial position is not obscured by hidden or inherent conservatism or optimism in the valuation. (This does not preclude the use of a Margin over the Current Estimate in the calculation of technical provisions, in accordance with standards 14.7 and 14.9.) To what extent are the valuations of assets and liabilities in YOUR JURISDICTION economic valuations?</w:t>
      </w:r>
    </w:p>
    <w:p w14:paraId="6EA94C8F" w14:textId="77777777" w:rsidR="00BC1E0D" w:rsidRPr="00BC1E0D" w:rsidRDefault="00BC1E0D" w:rsidP="00BC1E0D">
      <w:pPr>
        <w:numPr>
          <w:ilvl w:val="1"/>
          <w:numId w:val="1"/>
        </w:numPr>
        <w:spacing w:after="200" w:line="276" w:lineRule="auto"/>
        <w:contextualSpacing/>
        <w:rPr>
          <w:rFonts w:cs="Arial"/>
          <w:lang w:val="en-US"/>
        </w:rPr>
      </w:pPr>
      <w:r w:rsidRPr="00BC1E0D">
        <w:rPr>
          <w:rFonts w:cs="Arial"/>
          <w:lang w:val="en-US"/>
        </w:rPr>
        <w:t>Valuations of both assets and liabilities are economic valuations.</w:t>
      </w:r>
    </w:p>
    <w:p w14:paraId="6FEAEBBA" w14:textId="77777777" w:rsidR="00BC1E0D" w:rsidRPr="00BC1E0D" w:rsidRDefault="00BC1E0D" w:rsidP="00BC1E0D">
      <w:pPr>
        <w:numPr>
          <w:ilvl w:val="1"/>
          <w:numId w:val="1"/>
        </w:numPr>
        <w:spacing w:after="200" w:line="276" w:lineRule="auto"/>
        <w:contextualSpacing/>
        <w:rPr>
          <w:rFonts w:cs="Arial"/>
          <w:lang w:val="en-US"/>
        </w:rPr>
      </w:pPr>
      <w:r w:rsidRPr="00BC1E0D">
        <w:rPr>
          <w:rFonts w:cs="Arial"/>
          <w:lang w:val="en-US"/>
        </w:rPr>
        <w:t>Valuations of assets are economic valuations, but valuations of some liabilities reflect hidden or inherent conservatism or optimism.</w:t>
      </w:r>
    </w:p>
    <w:p w14:paraId="2262406C" w14:textId="77777777" w:rsidR="00BC1E0D" w:rsidRPr="00BC1E0D" w:rsidRDefault="00BC1E0D" w:rsidP="00BC1E0D">
      <w:pPr>
        <w:numPr>
          <w:ilvl w:val="1"/>
          <w:numId w:val="1"/>
        </w:numPr>
        <w:spacing w:after="200" w:line="276" w:lineRule="auto"/>
        <w:contextualSpacing/>
        <w:rPr>
          <w:rFonts w:cs="Arial"/>
          <w:lang w:val="en-US"/>
        </w:rPr>
      </w:pPr>
      <w:r w:rsidRPr="00BC1E0D">
        <w:rPr>
          <w:rFonts w:cs="Arial"/>
          <w:lang w:val="en-US"/>
        </w:rPr>
        <w:t>Valuations of liabilities are economic valuations, but valuations of some assets reflect hidden or inherent conservatism or optimism.</w:t>
      </w:r>
    </w:p>
    <w:p w14:paraId="2E4E40D5" w14:textId="77777777" w:rsidR="00BC1E0D" w:rsidRPr="00BC1E0D" w:rsidRDefault="00BC1E0D" w:rsidP="00BC1E0D">
      <w:pPr>
        <w:numPr>
          <w:ilvl w:val="1"/>
          <w:numId w:val="1"/>
        </w:numPr>
        <w:spacing w:after="200" w:line="276" w:lineRule="auto"/>
        <w:contextualSpacing/>
        <w:rPr>
          <w:rFonts w:cs="Arial"/>
          <w:lang w:val="en-US"/>
        </w:rPr>
      </w:pPr>
      <w:r w:rsidRPr="00BC1E0D">
        <w:rPr>
          <w:rFonts w:cs="Arial"/>
          <w:lang w:val="en-US"/>
        </w:rPr>
        <w:t>Valuations of both assets and liabilities reflect hidden or inherent conservatism, but not optimism.</w:t>
      </w:r>
    </w:p>
    <w:p w14:paraId="0B19FDCE" w14:textId="77777777" w:rsidR="00BC1E0D" w:rsidRPr="00BC1E0D" w:rsidRDefault="00BC1E0D" w:rsidP="00BC1E0D">
      <w:pPr>
        <w:numPr>
          <w:ilvl w:val="1"/>
          <w:numId w:val="1"/>
        </w:numPr>
        <w:spacing w:after="200" w:line="276" w:lineRule="auto"/>
        <w:contextualSpacing/>
        <w:rPr>
          <w:rFonts w:cs="Arial"/>
          <w:lang w:val="en-US"/>
        </w:rPr>
      </w:pPr>
      <w:r w:rsidRPr="00BC1E0D">
        <w:rPr>
          <w:rFonts w:cs="Arial"/>
          <w:lang w:val="en-US"/>
        </w:rPr>
        <w:t>Valuations of both assets and liabilities sometimes reflect hidden or inherent conservatism or optimism.</w:t>
      </w:r>
    </w:p>
    <w:p w14:paraId="1F4FA6BE" w14:textId="7F990B6C" w:rsidR="000B51C1" w:rsidRPr="000B51C1" w:rsidRDefault="0046068E" w:rsidP="0046068E">
      <w:pPr>
        <w:pStyle w:val="Default"/>
        <w:rPr>
          <w:sz w:val="22"/>
          <w:szCs w:val="22"/>
          <w:lang w:val="en-US"/>
        </w:rPr>
      </w:pPr>
      <w:r>
        <w:rPr>
          <w:b/>
          <w:bCs/>
          <w:sz w:val="22"/>
          <w:szCs w:val="22"/>
          <w:lang w:val="en-US"/>
        </w:rPr>
        <w:t>1</w:t>
      </w:r>
      <w:r w:rsidR="00B25AB9">
        <w:rPr>
          <w:b/>
          <w:bCs/>
          <w:sz w:val="22"/>
          <w:szCs w:val="22"/>
          <w:lang w:val="en-US"/>
        </w:rPr>
        <w:t>4</w:t>
      </w:r>
      <w:r>
        <w:rPr>
          <w:b/>
          <w:bCs/>
          <w:sz w:val="22"/>
          <w:szCs w:val="22"/>
          <w:lang w:val="en-US"/>
        </w:rPr>
        <w:t>.5</w:t>
      </w:r>
      <w:r>
        <w:rPr>
          <w:b/>
          <w:bCs/>
          <w:sz w:val="22"/>
          <w:szCs w:val="22"/>
          <w:lang w:val="en-US"/>
        </w:rPr>
        <w:tab/>
      </w:r>
      <w:r w:rsidR="000B51C1" w:rsidRPr="000B51C1">
        <w:rPr>
          <w:b/>
          <w:bCs/>
          <w:sz w:val="22"/>
          <w:szCs w:val="22"/>
          <w:lang w:val="en-US"/>
        </w:rPr>
        <w:t xml:space="preserve">An economic valuation of assets and liabilities reflects the risk-adjusted present values of their cash flows. </w:t>
      </w:r>
    </w:p>
    <w:p w14:paraId="7F2A73D1" w14:textId="77777777" w:rsidR="00BC1E0D" w:rsidRPr="00BC1E0D" w:rsidRDefault="00BC1E0D" w:rsidP="00BC1E0D">
      <w:pPr>
        <w:rPr>
          <w:rFonts w:cs="Arial"/>
          <w:lang w:val="en-US"/>
        </w:rPr>
      </w:pPr>
    </w:p>
    <w:p w14:paraId="1AAA0AAB" w14:textId="77777777" w:rsidR="00BC1E0D" w:rsidRPr="00BC1E0D" w:rsidRDefault="00BC1E0D" w:rsidP="00BC1E0D">
      <w:pPr>
        <w:numPr>
          <w:ilvl w:val="0"/>
          <w:numId w:val="1"/>
        </w:numPr>
        <w:spacing w:after="200" w:line="276" w:lineRule="auto"/>
        <w:contextualSpacing/>
        <w:rPr>
          <w:rFonts w:cs="Arial"/>
          <w:lang w:val="en-US"/>
        </w:rPr>
      </w:pPr>
      <w:r w:rsidRPr="00BC1E0D">
        <w:rPr>
          <w:rFonts w:cs="Arial"/>
          <w:lang w:val="en-US"/>
        </w:rPr>
        <w:t xml:space="preserve">The valuation of assets and liabilities of an insurer for solvency purposes should reflect the risk-adjusted present values of their cash flows. Values might be determined directly, using a discounted cash flow calculation, but other approaches are possible, such as the use of quoted market values or amortised cost used in conjunction with an adequacy or impairment test. (The guidance under standard 14.5 discusses possible approaches.) To what extent do the valuations of assets in YOUR JURISDICTION reflect the risk-adjusted present values of their cash flows? </w:t>
      </w:r>
    </w:p>
    <w:p w14:paraId="086811C6" w14:textId="77777777" w:rsidR="00BC1E0D" w:rsidRPr="00BC1E0D" w:rsidRDefault="00BC1E0D" w:rsidP="00BC1E0D">
      <w:pPr>
        <w:numPr>
          <w:ilvl w:val="1"/>
          <w:numId w:val="1"/>
        </w:numPr>
        <w:spacing w:after="200" w:line="276" w:lineRule="auto"/>
        <w:contextualSpacing/>
        <w:rPr>
          <w:rFonts w:cs="Arial"/>
          <w:lang w:val="en-US"/>
        </w:rPr>
      </w:pPr>
      <w:r w:rsidRPr="00BC1E0D">
        <w:rPr>
          <w:rFonts w:cs="Arial"/>
          <w:lang w:val="en-US"/>
        </w:rPr>
        <w:t>Valuations of all assets reflect the risk-adjusted present values of their cash flows.</w:t>
      </w:r>
    </w:p>
    <w:p w14:paraId="1B7E8FA1" w14:textId="77777777" w:rsidR="00BC1E0D" w:rsidRPr="00BC1E0D" w:rsidRDefault="00BC1E0D" w:rsidP="00BC1E0D">
      <w:pPr>
        <w:numPr>
          <w:ilvl w:val="1"/>
          <w:numId w:val="1"/>
        </w:numPr>
        <w:spacing w:after="200" w:line="276" w:lineRule="auto"/>
        <w:contextualSpacing/>
        <w:rPr>
          <w:rFonts w:cs="Arial"/>
          <w:lang w:val="en-US"/>
        </w:rPr>
      </w:pPr>
      <w:r w:rsidRPr="00BC1E0D">
        <w:rPr>
          <w:rFonts w:cs="Arial"/>
          <w:lang w:val="en-US"/>
        </w:rPr>
        <w:t>Valuations of most assets reflect the risk-adjusted present values of their cash flows. The effects of any exceptions on the assessment of an insurer’s financial position are insignificant.</w:t>
      </w:r>
    </w:p>
    <w:p w14:paraId="6158DDE4" w14:textId="77777777" w:rsidR="00BC1E0D" w:rsidRPr="00BC1E0D" w:rsidRDefault="00BC1E0D" w:rsidP="00BC1E0D">
      <w:pPr>
        <w:numPr>
          <w:ilvl w:val="1"/>
          <w:numId w:val="1"/>
        </w:numPr>
        <w:spacing w:after="200" w:line="276" w:lineRule="auto"/>
        <w:contextualSpacing/>
        <w:rPr>
          <w:rFonts w:cs="Arial"/>
          <w:lang w:val="en-US"/>
        </w:rPr>
      </w:pPr>
      <w:r w:rsidRPr="00BC1E0D">
        <w:rPr>
          <w:rFonts w:cs="Arial"/>
          <w:lang w:val="en-US"/>
        </w:rPr>
        <w:t>Valuations of many assets reflect the risk-adjusted present values of their cash flows. The effects of exceptions on the assessment of an insurer’s financial position can sometimes be significant, but in such cases the effects are disclosed.</w:t>
      </w:r>
    </w:p>
    <w:p w14:paraId="29455BD5" w14:textId="77777777" w:rsidR="00BC1E0D" w:rsidRPr="00BC1E0D" w:rsidRDefault="00BC1E0D" w:rsidP="00BC1E0D">
      <w:pPr>
        <w:numPr>
          <w:ilvl w:val="1"/>
          <w:numId w:val="1"/>
        </w:numPr>
        <w:spacing w:after="200" w:line="276" w:lineRule="auto"/>
        <w:contextualSpacing/>
        <w:rPr>
          <w:rFonts w:cs="Arial"/>
          <w:lang w:val="en-US"/>
        </w:rPr>
      </w:pPr>
      <w:r w:rsidRPr="00BC1E0D">
        <w:rPr>
          <w:rFonts w:cs="Arial"/>
          <w:lang w:val="en-US"/>
        </w:rPr>
        <w:t>Valuations of some assets reflect the risk-adjusted present values of their cash flows. The effects of exceptions on the assessment of an insurer’s financial position can sometimes be significant and often are not disclosed.</w:t>
      </w:r>
    </w:p>
    <w:p w14:paraId="64E0B259" w14:textId="77777777" w:rsidR="00BC1E0D" w:rsidRPr="00BC1E0D" w:rsidRDefault="00BC1E0D" w:rsidP="00BC1E0D">
      <w:pPr>
        <w:numPr>
          <w:ilvl w:val="1"/>
          <w:numId w:val="1"/>
        </w:numPr>
        <w:spacing w:after="200" w:line="276" w:lineRule="auto"/>
        <w:contextualSpacing/>
        <w:rPr>
          <w:rFonts w:cs="Arial"/>
          <w:lang w:val="en-US"/>
        </w:rPr>
      </w:pPr>
      <w:r w:rsidRPr="00BC1E0D">
        <w:rPr>
          <w:rFonts w:cs="Arial"/>
          <w:lang w:val="en-US"/>
        </w:rPr>
        <w:t>Valuations of assets generally do not reflect the risk-adjusted present values of their cash flows.</w:t>
      </w:r>
    </w:p>
    <w:p w14:paraId="1B26F479" w14:textId="77777777" w:rsidR="00BC1E0D" w:rsidRPr="00BC1E0D" w:rsidRDefault="00BC1E0D" w:rsidP="00BC1E0D">
      <w:pPr>
        <w:contextualSpacing/>
        <w:rPr>
          <w:rFonts w:cs="Arial"/>
          <w:lang w:val="en-US"/>
        </w:rPr>
      </w:pPr>
    </w:p>
    <w:p w14:paraId="407D8E43" w14:textId="77777777" w:rsidR="00BC1E0D" w:rsidRPr="00BC1E0D" w:rsidRDefault="00BC1E0D" w:rsidP="00BC1E0D">
      <w:pPr>
        <w:numPr>
          <w:ilvl w:val="0"/>
          <w:numId w:val="1"/>
        </w:numPr>
        <w:spacing w:after="200" w:line="276" w:lineRule="auto"/>
        <w:contextualSpacing/>
        <w:rPr>
          <w:rFonts w:cs="Arial"/>
          <w:lang w:val="en-US"/>
        </w:rPr>
      </w:pPr>
      <w:r w:rsidRPr="00BC1E0D">
        <w:rPr>
          <w:rFonts w:cs="Arial"/>
          <w:lang w:val="en-US"/>
        </w:rPr>
        <w:t xml:space="preserve">The valuation of assets and liabilities of an insurer for solvency purposes should reflect the risk-adjusted present values of their cash flows. Values might be determined directly, using a discounted cash flow calculation, but other approaches are possible, such as the use of quoted market values or amortised cost used in conjunction with an adequacy or impairment test. (The guidance under standard 14.5 discusses possible approaches.) To what extent do the valuations of liabilities in YOUR JURISDICTION reflect the risk-adjusted present values of their cash flows? </w:t>
      </w:r>
    </w:p>
    <w:p w14:paraId="2BC7850C" w14:textId="77777777" w:rsidR="00BC1E0D" w:rsidRPr="00BC1E0D" w:rsidRDefault="00BC1E0D" w:rsidP="00BC1E0D">
      <w:pPr>
        <w:numPr>
          <w:ilvl w:val="1"/>
          <w:numId w:val="1"/>
        </w:numPr>
        <w:spacing w:after="200" w:line="276" w:lineRule="auto"/>
        <w:contextualSpacing/>
        <w:rPr>
          <w:rFonts w:cs="Arial"/>
          <w:lang w:val="en-US"/>
        </w:rPr>
      </w:pPr>
      <w:r w:rsidRPr="00BC1E0D">
        <w:rPr>
          <w:rFonts w:cs="Arial"/>
          <w:lang w:val="en-US"/>
        </w:rPr>
        <w:t>Valuations of all liabilities reflect the risk-adjusted present values of their cash flows.</w:t>
      </w:r>
    </w:p>
    <w:p w14:paraId="2047D5A2" w14:textId="77777777" w:rsidR="00BC1E0D" w:rsidRPr="00BC1E0D" w:rsidRDefault="00BC1E0D" w:rsidP="00BC1E0D">
      <w:pPr>
        <w:numPr>
          <w:ilvl w:val="1"/>
          <w:numId w:val="1"/>
        </w:numPr>
        <w:spacing w:after="200" w:line="276" w:lineRule="auto"/>
        <w:contextualSpacing/>
        <w:rPr>
          <w:rFonts w:cs="Arial"/>
          <w:lang w:val="en-US"/>
        </w:rPr>
      </w:pPr>
      <w:r w:rsidRPr="00BC1E0D">
        <w:rPr>
          <w:rFonts w:cs="Arial"/>
          <w:lang w:val="en-US"/>
        </w:rPr>
        <w:t>Valuations of most liabilities reflect the risk-adjusted present values of their cash flows. The effects of any exceptions on the assessment of an insurer’s financial position are insignificant.</w:t>
      </w:r>
    </w:p>
    <w:p w14:paraId="7EDB6B22" w14:textId="77777777" w:rsidR="00BC1E0D" w:rsidRPr="00BC1E0D" w:rsidRDefault="00BC1E0D" w:rsidP="00BC1E0D">
      <w:pPr>
        <w:numPr>
          <w:ilvl w:val="1"/>
          <w:numId w:val="1"/>
        </w:numPr>
        <w:spacing w:after="200" w:line="276" w:lineRule="auto"/>
        <w:contextualSpacing/>
        <w:rPr>
          <w:rFonts w:cs="Arial"/>
          <w:lang w:val="en-US"/>
        </w:rPr>
      </w:pPr>
      <w:r w:rsidRPr="00BC1E0D">
        <w:rPr>
          <w:rFonts w:cs="Arial"/>
          <w:lang w:val="en-US"/>
        </w:rPr>
        <w:t>Valuations of many liabilities reflect the risk-adjusted present values of their cash flows. The effects of exceptions on the assessment of an insurer’s financial position can sometimes be significant, but in such cases the effects are disclosed.</w:t>
      </w:r>
    </w:p>
    <w:p w14:paraId="42A9FBE6" w14:textId="77777777" w:rsidR="00BC1E0D" w:rsidRPr="00BC1E0D" w:rsidRDefault="00BC1E0D" w:rsidP="00BC1E0D">
      <w:pPr>
        <w:numPr>
          <w:ilvl w:val="1"/>
          <w:numId w:val="1"/>
        </w:numPr>
        <w:spacing w:after="200" w:line="276" w:lineRule="auto"/>
        <w:contextualSpacing/>
        <w:rPr>
          <w:rFonts w:cs="Arial"/>
          <w:lang w:val="en-US"/>
        </w:rPr>
      </w:pPr>
      <w:r w:rsidRPr="00BC1E0D">
        <w:rPr>
          <w:rFonts w:cs="Arial"/>
          <w:lang w:val="en-US"/>
        </w:rPr>
        <w:t>Valuations of some liabilities reflect the risk-adjusted present values of their cash flows. The effects of exceptions on the assessment of an insurer’s financial position can sometimes be significant and often are not disclosed.</w:t>
      </w:r>
    </w:p>
    <w:p w14:paraId="0E318CD6" w14:textId="77777777" w:rsidR="00BC1E0D" w:rsidRPr="00BC1E0D" w:rsidRDefault="00BC1E0D" w:rsidP="00BC1E0D">
      <w:pPr>
        <w:numPr>
          <w:ilvl w:val="1"/>
          <w:numId w:val="1"/>
        </w:numPr>
        <w:spacing w:after="200" w:line="276" w:lineRule="auto"/>
        <w:contextualSpacing/>
        <w:rPr>
          <w:rFonts w:cs="Arial"/>
          <w:lang w:val="en-US"/>
        </w:rPr>
      </w:pPr>
      <w:r w:rsidRPr="00BC1E0D">
        <w:rPr>
          <w:rFonts w:cs="Arial"/>
          <w:lang w:val="en-US"/>
        </w:rPr>
        <w:t>Valuations of liabilities generally do not reflect the risk-adjusted present values of their cash flows.</w:t>
      </w:r>
    </w:p>
    <w:p w14:paraId="7E8DD52F" w14:textId="77777777" w:rsidR="000B51C1" w:rsidRPr="00E764EC" w:rsidRDefault="000B51C1" w:rsidP="000B51C1">
      <w:pPr>
        <w:pStyle w:val="Default"/>
        <w:ind w:left="360"/>
        <w:rPr>
          <w:lang w:val="en-US"/>
        </w:rPr>
      </w:pPr>
    </w:p>
    <w:p w14:paraId="22386649" w14:textId="3795BC5B" w:rsidR="000B51C1" w:rsidRPr="000B51C1" w:rsidRDefault="00B25AB9" w:rsidP="00B25AB9">
      <w:pPr>
        <w:pStyle w:val="Default"/>
        <w:rPr>
          <w:sz w:val="22"/>
          <w:szCs w:val="22"/>
          <w:lang w:val="en-US"/>
        </w:rPr>
      </w:pPr>
      <w:r>
        <w:rPr>
          <w:b/>
          <w:bCs/>
          <w:sz w:val="22"/>
          <w:szCs w:val="22"/>
          <w:lang w:val="en-US"/>
        </w:rPr>
        <w:t>14.6</w:t>
      </w:r>
      <w:r>
        <w:rPr>
          <w:b/>
          <w:bCs/>
          <w:sz w:val="22"/>
          <w:szCs w:val="22"/>
          <w:lang w:val="en-US"/>
        </w:rPr>
        <w:tab/>
      </w:r>
      <w:r w:rsidR="000B51C1" w:rsidRPr="000B51C1">
        <w:rPr>
          <w:b/>
          <w:bCs/>
          <w:sz w:val="22"/>
          <w:szCs w:val="22"/>
          <w:lang w:val="en-US"/>
        </w:rPr>
        <w:t>The value of technical provisions and other liabilities does not reflect the insurer’s own credit standing</w:t>
      </w:r>
      <w:r w:rsidR="00227BCC">
        <w:rPr>
          <w:b/>
          <w:bCs/>
          <w:sz w:val="22"/>
          <w:szCs w:val="22"/>
          <w:lang w:val="en-US"/>
        </w:rPr>
        <w:t>.</w:t>
      </w:r>
    </w:p>
    <w:p w14:paraId="1DF49EE6" w14:textId="77777777" w:rsidR="00BC1E0D" w:rsidRPr="00BC1E0D" w:rsidRDefault="00BC1E0D" w:rsidP="00BC1E0D">
      <w:pPr>
        <w:rPr>
          <w:rFonts w:cs="Arial"/>
          <w:lang w:val="en-US"/>
        </w:rPr>
      </w:pPr>
    </w:p>
    <w:p w14:paraId="4C809706" w14:textId="77777777" w:rsidR="00BC1E0D" w:rsidRPr="00BC1E0D" w:rsidRDefault="00BC1E0D" w:rsidP="00BC1E0D">
      <w:pPr>
        <w:numPr>
          <w:ilvl w:val="0"/>
          <w:numId w:val="1"/>
        </w:numPr>
        <w:spacing w:after="200" w:line="276" w:lineRule="auto"/>
        <w:contextualSpacing/>
        <w:rPr>
          <w:rFonts w:cs="Arial"/>
          <w:lang w:val="en-US"/>
        </w:rPr>
      </w:pPr>
      <w:r w:rsidRPr="00BC1E0D">
        <w:rPr>
          <w:rFonts w:cs="Arial"/>
          <w:lang w:val="en-US"/>
        </w:rPr>
        <w:t>To what extent do the values of technical provisions and other liabilities in YOUR JURISDICTION reflect the insurer’s own credit standing?</w:t>
      </w:r>
    </w:p>
    <w:p w14:paraId="7C2EA73B" w14:textId="77777777" w:rsidR="00BC1E0D" w:rsidRPr="00BC1E0D" w:rsidRDefault="00BC1E0D" w:rsidP="00BC1E0D">
      <w:pPr>
        <w:numPr>
          <w:ilvl w:val="1"/>
          <w:numId w:val="1"/>
        </w:numPr>
        <w:spacing w:after="200" w:line="276" w:lineRule="auto"/>
        <w:contextualSpacing/>
        <w:rPr>
          <w:rFonts w:cs="Arial"/>
          <w:lang w:val="en-US"/>
        </w:rPr>
      </w:pPr>
      <w:r w:rsidRPr="00BC1E0D">
        <w:rPr>
          <w:rFonts w:cs="Arial"/>
          <w:lang w:val="en-US"/>
        </w:rPr>
        <w:t>The values of technical provisions and other liabilities are not allowed to reflect the insurer’s own credit standing.</w:t>
      </w:r>
    </w:p>
    <w:p w14:paraId="24D26B69" w14:textId="77777777" w:rsidR="00BC1E0D" w:rsidRPr="00BC1E0D" w:rsidRDefault="00BC1E0D" w:rsidP="00BC1E0D">
      <w:pPr>
        <w:numPr>
          <w:ilvl w:val="1"/>
          <w:numId w:val="1"/>
        </w:numPr>
        <w:spacing w:after="200" w:line="276" w:lineRule="auto"/>
        <w:contextualSpacing/>
        <w:rPr>
          <w:rFonts w:cs="Arial"/>
          <w:lang w:val="en-US"/>
        </w:rPr>
      </w:pPr>
      <w:r w:rsidRPr="00BC1E0D">
        <w:rPr>
          <w:rFonts w:cs="Arial"/>
          <w:lang w:val="en-US"/>
        </w:rPr>
        <w:t>The values of some technical provisions and other liabilities are allowed to reflect the insurer’s own credit standing, but in practice they do not.</w:t>
      </w:r>
    </w:p>
    <w:p w14:paraId="376F610E" w14:textId="77777777" w:rsidR="00BC1E0D" w:rsidRPr="00BC1E0D" w:rsidRDefault="00BC1E0D" w:rsidP="00BC1E0D">
      <w:pPr>
        <w:numPr>
          <w:ilvl w:val="1"/>
          <w:numId w:val="1"/>
        </w:numPr>
        <w:spacing w:after="200" w:line="276" w:lineRule="auto"/>
        <w:contextualSpacing/>
        <w:rPr>
          <w:rFonts w:cs="Arial"/>
          <w:lang w:val="en-US"/>
        </w:rPr>
      </w:pPr>
      <w:r w:rsidRPr="00BC1E0D">
        <w:rPr>
          <w:rFonts w:cs="Arial"/>
          <w:lang w:val="en-US"/>
        </w:rPr>
        <w:t>The values of some technical provisions and other liabilities are allowed to reflect the insurer’s own credit standing, and sometimes they do.</w:t>
      </w:r>
    </w:p>
    <w:p w14:paraId="46EB1B9F" w14:textId="77777777" w:rsidR="00BC1E0D" w:rsidRPr="00BC1E0D" w:rsidRDefault="00BC1E0D" w:rsidP="00BC1E0D">
      <w:pPr>
        <w:numPr>
          <w:ilvl w:val="1"/>
          <w:numId w:val="1"/>
        </w:numPr>
        <w:spacing w:after="200" w:line="276" w:lineRule="auto"/>
        <w:contextualSpacing/>
        <w:rPr>
          <w:rFonts w:cs="Arial"/>
          <w:lang w:val="en-US"/>
        </w:rPr>
      </w:pPr>
      <w:r w:rsidRPr="00BC1E0D">
        <w:rPr>
          <w:rFonts w:cs="Arial"/>
          <w:lang w:val="en-US"/>
        </w:rPr>
        <w:t>The values of technical provisions and other liabilities generally reflect the insurer’s own credit standing.</w:t>
      </w:r>
    </w:p>
    <w:p w14:paraId="010A4598" w14:textId="77777777" w:rsidR="000B51C1" w:rsidRPr="00E764EC" w:rsidRDefault="000B51C1" w:rsidP="000B51C1">
      <w:pPr>
        <w:pStyle w:val="Default"/>
        <w:ind w:left="360"/>
        <w:rPr>
          <w:lang w:val="en-US"/>
        </w:rPr>
      </w:pPr>
    </w:p>
    <w:p w14:paraId="021C81BC" w14:textId="27991770" w:rsidR="000B51C1" w:rsidRPr="000B51C1" w:rsidRDefault="00B25AB9" w:rsidP="00B25AB9">
      <w:pPr>
        <w:pStyle w:val="Default"/>
        <w:rPr>
          <w:sz w:val="22"/>
          <w:szCs w:val="22"/>
          <w:lang w:val="en-US"/>
        </w:rPr>
      </w:pPr>
      <w:r>
        <w:rPr>
          <w:b/>
          <w:bCs/>
          <w:sz w:val="22"/>
          <w:szCs w:val="22"/>
          <w:lang w:val="en-US"/>
        </w:rPr>
        <w:t>14.7</w:t>
      </w:r>
      <w:r>
        <w:rPr>
          <w:b/>
          <w:bCs/>
          <w:sz w:val="22"/>
          <w:szCs w:val="22"/>
          <w:lang w:val="en-US"/>
        </w:rPr>
        <w:tab/>
      </w:r>
      <w:r w:rsidR="000B51C1" w:rsidRPr="000B51C1">
        <w:rPr>
          <w:b/>
          <w:bCs/>
          <w:sz w:val="22"/>
          <w:szCs w:val="22"/>
          <w:lang w:val="en-US"/>
        </w:rPr>
        <w:t xml:space="preserve">The valuation of technical provisions exceeds the Current Estimate by a margin (Margin over the Current Estimate or MOCE). </w:t>
      </w:r>
    </w:p>
    <w:p w14:paraId="448F6BD1" w14:textId="77777777" w:rsidR="00BC1E0D" w:rsidRPr="00BC1E0D" w:rsidRDefault="00BC1E0D" w:rsidP="00BC1E0D">
      <w:pPr>
        <w:rPr>
          <w:rFonts w:cs="Arial"/>
          <w:lang w:val="en-US"/>
        </w:rPr>
      </w:pPr>
    </w:p>
    <w:p w14:paraId="4D280E96" w14:textId="77777777" w:rsidR="00BC1E0D" w:rsidRPr="00BC1E0D" w:rsidRDefault="00BC1E0D" w:rsidP="00BC1E0D">
      <w:pPr>
        <w:numPr>
          <w:ilvl w:val="0"/>
          <w:numId w:val="1"/>
        </w:numPr>
        <w:spacing w:after="200" w:line="276" w:lineRule="auto"/>
        <w:contextualSpacing/>
        <w:rPr>
          <w:rFonts w:cs="Arial"/>
          <w:lang w:val="en-US"/>
        </w:rPr>
      </w:pPr>
      <w:r w:rsidRPr="00BC1E0D">
        <w:rPr>
          <w:rFonts w:cs="Arial"/>
          <w:lang w:val="en-US"/>
        </w:rPr>
        <w:t>To what extent are the valuations of technical provisions in YOUR JURISDICTION required to exceed the Current Estimate by a margin (Margin over the Current Estimate or MOCE)? (The guidance under standard 14.7 discusses the meanings of Current Estimate and MOCE.)</w:t>
      </w:r>
    </w:p>
    <w:p w14:paraId="14C46C48" w14:textId="77777777" w:rsidR="00BC1E0D" w:rsidRPr="00BC1E0D" w:rsidRDefault="00BC1E0D" w:rsidP="00BC1E0D">
      <w:pPr>
        <w:numPr>
          <w:ilvl w:val="1"/>
          <w:numId w:val="1"/>
        </w:numPr>
        <w:spacing w:after="200" w:line="276" w:lineRule="auto"/>
        <w:contextualSpacing/>
        <w:rPr>
          <w:rFonts w:cs="Arial"/>
          <w:lang w:val="en-US"/>
        </w:rPr>
      </w:pPr>
      <w:r w:rsidRPr="00BC1E0D">
        <w:rPr>
          <w:rFonts w:cs="Arial"/>
          <w:lang w:val="en-US"/>
        </w:rPr>
        <w:t>The valuations of technical provisions are based on Current Estimates and are required to exceed them by a margin.</w:t>
      </w:r>
    </w:p>
    <w:p w14:paraId="4E7ACD30" w14:textId="77777777" w:rsidR="00BC1E0D" w:rsidRPr="00BC1E0D" w:rsidRDefault="00BC1E0D" w:rsidP="00BC1E0D">
      <w:pPr>
        <w:numPr>
          <w:ilvl w:val="1"/>
          <w:numId w:val="1"/>
        </w:numPr>
        <w:spacing w:after="200" w:line="276" w:lineRule="auto"/>
        <w:contextualSpacing/>
        <w:rPr>
          <w:rFonts w:cs="Arial"/>
          <w:lang w:val="en-US"/>
        </w:rPr>
      </w:pPr>
      <w:r w:rsidRPr="00BC1E0D">
        <w:rPr>
          <w:rFonts w:cs="Arial"/>
          <w:lang w:val="en-US"/>
        </w:rPr>
        <w:t>The valuations of technical provisions are not necessarily based on Current Estimates. However, they are required to exceed Current Estimates by a margin.</w:t>
      </w:r>
    </w:p>
    <w:p w14:paraId="581E8BC5" w14:textId="77777777" w:rsidR="00BC1E0D" w:rsidRPr="00BC1E0D" w:rsidRDefault="00BC1E0D" w:rsidP="00BC1E0D">
      <w:pPr>
        <w:numPr>
          <w:ilvl w:val="1"/>
          <w:numId w:val="1"/>
        </w:numPr>
        <w:spacing w:after="200" w:line="276" w:lineRule="auto"/>
        <w:contextualSpacing/>
        <w:rPr>
          <w:rFonts w:cs="Arial"/>
          <w:lang w:val="en-US"/>
        </w:rPr>
      </w:pPr>
      <w:r w:rsidRPr="00BC1E0D">
        <w:rPr>
          <w:rFonts w:cs="Arial"/>
          <w:lang w:val="en-US"/>
        </w:rPr>
        <w:t>The valuations of technical provisions are not required to exceed Current Estimates by a margin, but generally they do.</w:t>
      </w:r>
    </w:p>
    <w:p w14:paraId="26E4DC89" w14:textId="77777777" w:rsidR="00BC1E0D" w:rsidRPr="00BC1E0D" w:rsidRDefault="00BC1E0D" w:rsidP="00BC1E0D">
      <w:pPr>
        <w:numPr>
          <w:ilvl w:val="1"/>
          <w:numId w:val="1"/>
        </w:numPr>
        <w:spacing w:after="200" w:line="276" w:lineRule="auto"/>
        <w:contextualSpacing/>
        <w:rPr>
          <w:rFonts w:cs="Arial"/>
          <w:lang w:val="en-US"/>
        </w:rPr>
      </w:pPr>
      <w:r w:rsidRPr="00BC1E0D">
        <w:rPr>
          <w:rFonts w:cs="Arial"/>
          <w:lang w:val="en-US"/>
        </w:rPr>
        <w:t>The valuations of technical provisions are not required to exceed Current Estimates by a margin, and often they do not.</w:t>
      </w:r>
    </w:p>
    <w:p w14:paraId="34ED30B0" w14:textId="77777777" w:rsidR="00BC1E0D" w:rsidRPr="00BC1E0D" w:rsidRDefault="00BC1E0D" w:rsidP="00BC1E0D">
      <w:pPr>
        <w:numPr>
          <w:ilvl w:val="1"/>
          <w:numId w:val="1"/>
        </w:numPr>
        <w:spacing w:after="200" w:line="276" w:lineRule="auto"/>
        <w:contextualSpacing/>
        <w:rPr>
          <w:rFonts w:cs="Arial"/>
          <w:lang w:val="en-US"/>
        </w:rPr>
      </w:pPr>
      <w:r w:rsidRPr="00BC1E0D">
        <w:rPr>
          <w:rFonts w:cs="Arial"/>
          <w:lang w:val="en-US"/>
        </w:rPr>
        <w:t xml:space="preserve">The valuations of technical provisions do not exceed Current Estimates by a margin. </w:t>
      </w:r>
    </w:p>
    <w:p w14:paraId="0A719D44" w14:textId="28D4C845" w:rsidR="00BC1E0D" w:rsidRDefault="00BC1E0D" w:rsidP="00BC1E0D">
      <w:pPr>
        <w:rPr>
          <w:rFonts w:cs="Arial"/>
          <w:lang w:val="en-US"/>
        </w:rPr>
      </w:pPr>
    </w:p>
    <w:p w14:paraId="386BAA53" w14:textId="77777777" w:rsidR="003B499F" w:rsidRPr="00E764EC" w:rsidRDefault="003B499F" w:rsidP="003B499F">
      <w:pPr>
        <w:pStyle w:val="Default"/>
        <w:rPr>
          <w:lang w:val="en-US"/>
        </w:rPr>
      </w:pPr>
    </w:p>
    <w:p w14:paraId="157210DD" w14:textId="3724F177" w:rsidR="003B499F" w:rsidRPr="003B499F" w:rsidRDefault="00B25AB9" w:rsidP="003B499F">
      <w:pPr>
        <w:pStyle w:val="Default"/>
        <w:rPr>
          <w:sz w:val="22"/>
          <w:szCs w:val="22"/>
          <w:lang w:val="en-US"/>
        </w:rPr>
      </w:pPr>
      <w:r>
        <w:rPr>
          <w:b/>
          <w:bCs/>
          <w:sz w:val="22"/>
          <w:szCs w:val="22"/>
          <w:lang w:val="en-US"/>
        </w:rPr>
        <w:t>14.8</w:t>
      </w:r>
      <w:r>
        <w:rPr>
          <w:b/>
          <w:bCs/>
          <w:sz w:val="22"/>
          <w:szCs w:val="22"/>
          <w:lang w:val="en-US"/>
        </w:rPr>
        <w:tab/>
      </w:r>
      <w:r w:rsidR="003B499F" w:rsidRPr="003B499F">
        <w:rPr>
          <w:b/>
          <w:bCs/>
          <w:sz w:val="22"/>
          <w:szCs w:val="22"/>
          <w:lang w:val="en-US"/>
        </w:rPr>
        <w:t xml:space="preserve">The Current Estimate reflects the expected present value of all relevant future cash flows that arise in fulfilling insurance obligations, using unbiased, current assumptions. </w:t>
      </w:r>
    </w:p>
    <w:p w14:paraId="0613CDE5" w14:textId="77777777" w:rsidR="003B499F" w:rsidRPr="00BC1E0D" w:rsidRDefault="003B499F" w:rsidP="00BC1E0D">
      <w:pPr>
        <w:rPr>
          <w:rFonts w:cs="Arial"/>
          <w:lang w:val="en-US"/>
        </w:rPr>
      </w:pPr>
    </w:p>
    <w:p w14:paraId="43AAFE90" w14:textId="56A5CE13" w:rsidR="00BC1E0D" w:rsidRPr="00BC1E0D" w:rsidRDefault="00BC1E0D" w:rsidP="00BC1E0D">
      <w:pPr>
        <w:numPr>
          <w:ilvl w:val="0"/>
          <w:numId w:val="1"/>
        </w:numPr>
        <w:spacing w:after="200" w:line="276" w:lineRule="auto"/>
        <w:contextualSpacing/>
        <w:rPr>
          <w:rFonts w:cs="Arial"/>
          <w:lang w:val="en-US"/>
        </w:rPr>
      </w:pPr>
      <w:r w:rsidRPr="00BC1E0D">
        <w:rPr>
          <w:rFonts w:cs="Arial"/>
          <w:lang w:val="en-US"/>
        </w:rPr>
        <w:t>To what extent are the Current Estimates in YOUR JURISDICTION required to reflect the expected present value of all relevant future cash flows that arise in fulfilling insurance obligations, using unbiased, current assumptions?</w:t>
      </w:r>
    </w:p>
    <w:p w14:paraId="31DF8140" w14:textId="77777777" w:rsidR="00BC1E0D" w:rsidRPr="00BC1E0D" w:rsidRDefault="00BC1E0D" w:rsidP="00BC1E0D">
      <w:pPr>
        <w:spacing w:after="200" w:line="276" w:lineRule="auto"/>
        <w:ind w:left="360"/>
        <w:contextualSpacing/>
        <w:rPr>
          <w:rFonts w:cs="Arial"/>
          <w:lang w:val="en-US"/>
        </w:rPr>
      </w:pPr>
    </w:p>
    <w:tbl>
      <w:tblPr>
        <w:tblStyle w:val="TableGrid1"/>
        <w:tblW w:w="0" w:type="auto"/>
        <w:tblLook w:val="04A0" w:firstRow="1" w:lastRow="0" w:firstColumn="1" w:lastColumn="0" w:noHBand="0" w:noVBand="1"/>
      </w:tblPr>
      <w:tblGrid>
        <w:gridCol w:w="3726"/>
        <w:gridCol w:w="1475"/>
        <w:gridCol w:w="1379"/>
        <w:gridCol w:w="1392"/>
        <w:gridCol w:w="1088"/>
      </w:tblGrid>
      <w:tr w:rsidR="00BC1E0D" w:rsidRPr="00BC1E0D" w14:paraId="13EDB593" w14:textId="77777777" w:rsidTr="00194C4C">
        <w:tc>
          <w:tcPr>
            <w:tcW w:w="0" w:type="auto"/>
          </w:tcPr>
          <w:p w14:paraId="11F4B162" w14:textId="77777777" w:rsidR="00BC1E0D" w:rsidRPr="00BC1E0D" w:rsidRDefault="00BC1E0D" w:rsidP="00194C4C">
            <w:pPr>
              <w:rPr>
                <w:rFonts w:cs="Arial"/>
                <w:sz w:val="20"/>
              </w:rPr>
            </w:pPr>
          </w:p>
        </w:tc>
        <w:tc>
          <w:tcPr>
            <w:tcW w:w="0" w:type="auto"/>
          </w:tcPr>
          <w:p w14:paraId="7345B29F" w14:textId="77777777" w:rsidR="00BC1E0D" w:rsidRPr="00BC1E0D" w:rsidRDefault="00BC1E0D" w:rsidP="00194C4C">
            <w:pPr>
              <w:rPr>
                <w:rFonts w:cs="Arial"/>
                <w:sz w:val="20"/>
              </w:rPr>
            </w:pPr>
            <w:r w:rsidRPr="00BC1E0D">
              <w:rPr>
                <w:rFonts w:cs="Arial"/>
                <w:sz w:val="20"/>
              </w:rPr>
              <w:t>1. Explicitly required in all cases</w:t>
            </w:r>
          </w:p>
        </w:tc>
        <w:tc>
          <w:tcPr>
            <w:tcW w:w="0" w:type="auto"/>
          </w:tcPr>
          <w:p w14:paraId="53E27C8A" w14:textId="77777777" w:rsidR="00BC1E0D" w:rsidRPr="00BC1E0D" w:rsidRDefault="00BC1E0D" w:rsidP="00194C4C">
            <w:pPr>
              <w:rPr>
                <w:rFonts w:cs="Arial"/>
                <w:sz w:val="20"/>
              </w:rPr>
            </w:pPr>
            <w:r w:rsidRPr="00BC1E0D">
              <w:rPr>
                <w:rFonts w:cs="Arial"/>
                <w:sz w:val="20"/>
              </w:rPr>
              <w:t>2. Required in most cases</w:t>
            </w:r>
          </w:p>
        </w:tc>
        <w:tc>
          <w:tcPr>
            <w:tcW w:w="0" w:type="auto"/>
          </w:tcPr>
          <w:p w14:paraId="32D0A0DC" w14:textId="77777777" w:rsidR="00BC1E0D" w:rsidRPr="00BC1E0D" w:rsidRDefault="00BC1E0D" w:rsidP="00194C4C">
            <w:pPr>
              <w:rPr>
                <w:rFonts w:cs="Arial"/>
                <w:sz w:val="20"/>
              </w:rPr>
            </w:pPr>
            <w:r w:rsidRPr="00BC1E0D">
              <w:rPr>
                <w:rFonts w:cs="Arial"/>
                <w:sz w:val="20"/>
              </w:rPr>
              <w:t>3. Required in some cases</w:t>
            </w:r>
          </w:p>
        </w:tc>
        <w:tc>
          <w:tcPr>
            <w:tcW w:w="0" w:type="auto"/>
          </w:tcPr>
          <w:p w14:paraId="08B7F2E3" w14:textId="77777777" w:rsidR="00BC1E0D" w:rsidRPr="00BC1E0D" w:rsidRDefault="00BC1E0D" w:rsidP="00194C4C">
            <w:pPr>
              <w:rPr>
                <w:rFonts w:cs="Arial"/>
                <w:sz w:val="20"/>
              </w:rPr>
            </w:pPr>
            <w:r w:rsidRPr="00BC1E0D">
              <w:rPr>
                <w:rFonts w:cs="Arial"/>
                <w:sz w:val="20"/>
              </w:rPr>
              <w:t>4. Not required</w:t>
            </w:r>
          </w:p>
        </w:tc>
      </w:tr>
      <w:tr w:rsidR="00BC1E0D" w:rsidRPr="007B230E" w14:paraId="570D513F" w14:textId="77777777" w:rsidTr="00194C4C">
        <w:tc>
          <w:tcPr>
            <w:tcW w:w="0" w:type="auto"/>
          </w:tcPr>
          <w:p w14:paraId="215B8A57" w14:textId="6B647157" w:rsidR="00BC1E0D" w:rsidRPr="00BC1E0D" w:rsidRDefault="001A3C97" w:rsidP="00194C4C">
            <w:pPr>
              <w:rPr>
                <w:rFonts w:cs="Arial"/>
                <w:sz w:val="20"/>
              </w:rPr>
            </w:pPr>
            <w:r>
              <w:rPr>
                <w:rFonts w:cs="Arial"/>
                <w:sz w:val="20"/>
              </w:rPr>
              <w:t>A</w:t>
            </w:r>
            <w:r w:rsidR="00BC1E0D" w:rsidRPr="00BC1E0D">
              <w:rPr>
                <w:rFonts w:cs="Arial"/>
                <w:sz w:val="20"/>
              </w:rPr>
              <w:t xml:space="preserve">. </w:t>
            </w:r>
            <w:r w:rsidR="00BC1E0D" w:rsidRPr="00BC1E0D">
              <w:rPr>
                <w:rFonts w:cs="Arial"/>
                <w:b/>
                <w:sz w:val="20"/>
              </w:rPr>
              <w:t>Relevant types</w:t>
            </w:r>
            <w:r w:rsidR="00BC1E0D" w:rsidRPr="00BC1E0D">
              <w:rPr>
                <w:rFonts w:cs="Arial"/>
                <w:sz w:val="20"/>
              </w:rPr>
              <w:t xml:space="preserve"> of future cash flows that arise in fulfilling insurance obligations are reflected</w:t>
            </w:r>
          </w:p>
        </w:tc>
        <w:tc>
          <w:tcPr>
            <w:tcW w:w="0" w:type="auto"/>
          </w:tcPr>
          <w:p w14:paraId="4FD6FF73" w14:textId="77777777" w:rsidR="00BC1E0D" w:rsidRPr="00BC1E0D" w:rsidRDefault="00BC1E0D" w:rsidP="00194C4C">
            <w:pPr>
              <w:rPr>
                <w:rFonts w:cs="Arial"/>
                <w:sz w:val="20"/>
              </w:rPr>
            </w:pPr>
          </w:p>
        </w:tc>
        <w:tc>
          <w:tcPr>
            <w:tcW w:w="0" w:type="auto"/>
          </w:tcPr>
          <w:p w14:paraId="0612C270" w14:textId="77777777" w:rsidR="00BC1E0D" w:rsidRPr="00BC1E0D" w:rsidRDefault="00BC1E0D" w:rsidP="00194C4C">
            <w:pPr>
              <w:rPr>
                <w:rFonts w:cs="Arial"/>
                <w:sz w:val="20"/>
              </w:rPr>
            </w:pPr>
          </w:p>
        </w:tc>
        <w:tc>
          <w:tcPr>
            <w:tcW w:w="0" w:type="auto"/>
          </w:tcPr>
          <w:p w14:paraId="18B9E622" w14:textId="77777777" w:rsidR="00BC1E0D" w:rsidRPr="00BC1E0D" w:rsidRDefault="00BC1E0D" w:rsidP="00194C4C">
            <w:pPr>
              <w:rPr>
                <w:rFonts w:cs="Arial"/>
                <w:sz w:val="20"/>
              </w:rPr>
            </w:pPr>
          </w:p>
        </w:tc>
        <w:tc>
          <w:tcPr>
            <w:tcW w:w="0" w:type="auto"/>
          </w:tcPr>
          <w:p w14:paraId="2EBE569B" w14:textId="77777777" w:rsidR="00BC1E0D" w:rsidRPr="00BC1E0D" w:rsidRDefault="00BC1E0D" w:rsidP="00194C4C">
            <w:pPr>
              <w:rPr>
                <w:rFonts w:cs="Arial"/>
                <w:sz w:val="20"/>
              </w:rPr>
            </w:pPr>
          </w:p>
        </w:tc>
      </w:tr>
      <w:tr w:rsidR="00BC1E0D" w:rsidRPr="007B230E" w14:paraId="2FA3EC1B" w14:textId="77777777" w:rsidTr="00194C4C">
        <w:tc>
          <w:tcPr>
            <w:tcW w:w="0" w:type="auto"/>
          </w:tcPr>
          <w:p w14:paraId="34F2CF08" w14:textId="1926F630" w:rsidR="00BC1E0D" w:rsidRPr="00BC1E0D" w:rsidRDefault="001A3C97" w:rsidP="00194C4C">
            <w:pPr>
              <w:rPr>
                <w:rFonts w:cs="Arial"/>
                <w:sz w:val="20"/>
              </w:rPr>
            </w:pPr>
            <w:r>
              <w:rPr>
                <w:rFonts w:cs="Arial"/>
                <w:sz w:val="20"/>
              </w:rPr>
              <w:t>B</w:t>
            </w:r>
            <w:r w:rsidR="00BC1E0D" w:rsidRPr="00BC1E0D">
              <w:rPr>
                <w:rFonts w:cs="Arial"/>
                <w:sz w:val="20"/>
              </w:rPr>
              <w:t xml:space="preserve">. Types of future cash flows that are reflected are considered </w:t>
            </w:r>
            <w:r w:rsidR="00BC1E0D" w:rsidRPr="00BC1E0D">
              <w:rPr>
                <w:rFonts w:cs="Arial"/>
                <w:b/>
                <w:sz w:val="20"/>
              </w:rPr>
              <w:t>over the full time horizon</w:t>
            </w:r>
            <w:r w:rsidR="00BC1E0D" w:rsidRPr="00BC1E0D">
              <w:rPr>
                <w:rFonts w:cs="Arial"/>
                <w:sz w:val="20"/>
              </w:rPr>
              <w:t xml:space="preserve"> required to fulfill insurance obligations</w:t>
            </w:r>
          </w:p>
        </w:tc>
        <w:tc>
          <w:tcPr>
            <w:tcW w:w="0" w:type="auto"/>
          </w:tcPr>
          <w:p w14:paraId="61FD2405" w14:textId="77777777" w:rsidR="00BC1E0D" w:rsidRPr="00BC1E0D" w:rsidRDefault="00BC1E0D" w:rsidP="00194C4C">
            <w:pPr>
              <w:rPr>
                <w:rFonts w:cs="Arial"/>
                <w:sz w:val="20"/>
              </w:rPr>
            </w:pPr>
          </w:p>
        </w:tc>
        <w:tc>
          <w:tcPr>
            <w:tcW w:w="0" w:type="auto"/>
          </w:tcPr>
          <w:p w14:paraId="475BC3E9" w14:textId="77777777" w:rsidR="00BC1E0D" w:rsidRPr="00BC1E0D" w:rsidRDefault="00BC1E0D" w:rsidP="00194C4C">
            <w:pPr>
              <w:rPr>
                <w:rFonts w:cs="Arial"/>
                <w:sz w:val="20"/>
              </w:rPr>
            </w:pPr>
          </w:p>
        </w:tc>
        <w:tc>
          <w:tcPr>
            <w:tcW w:w="0" w:type="auto"/>
          </w:tcPr>
          <w:p w14:paraId="2677914C" w14:textId="77777777" w:rsidR="00BC1E0D" w:rsidRPr="00BC1E0D" w:rsidRDefault="00BC1E0D" w:rsidP="00194C4C">
            <w:pPr>
              <w:rPr>
                <w:rFonts w:cs="Arial"/>
                <w:sz w:val="20"/>
              </w:rPr>
            </w:pPr>
          </w:p>
        </w:tc>
        <w:tc>
          <w:tcPr>
            <w:tcW w:w="0" w:type="auto"/>
          </w:tcPr>
          <w:p w14:paraId="540DC74E" w14:textId="77777777" w:rsidR="00BC1E0D" w:rsidRPr="00BC1E0D" w:rsidRDefault="00BC1E0D" w:rsidP="00194C4C">
            <w:pPr>
              <w:rPr>
                <w:rFonts w:cs="Arial"/>
                <w:sz w:val="20"/>
              </w:rPr>
            </w:pPr>
          </w:p>
        </w:tc>
      </w:tr>
      <w:tr w:rsidR="00BC1E0D" w:rsidRPr="007B230E" w14:paraId="07C2ECB0" w14:textId="77777777" w:rsidTr="00194C4C">
        <w:tc>
          <w:tcPr>
            <w:tcW w:w="0" w:type="auto"/>
          </w:tcPr>
          <w:p w14:paraId="3EA58972" w14:textId="744B6799" w:rsidR="00BC1E0D" w:rsidRPr="00BC1E0D" w:rsidRDefault="001A3C97" w:rsidP="00194C4C">
            <w:pPr>
              <w:rPr>
                <w:rFonts w:cs="Arial"/>
                <w:sz w:val="20"/>
              </w:rPr>
            </w:pPr>
            <w:r>
              <w:rPr>
                <w:rFonts w:cs="Arial"/>
                <w:sz w:val="20"/>
              </w:rPr>
              <w:t>C</w:t>
            </w:r>
            <w:r w:rsidR="00BC1E0D" w:rsidRPr="00BC1E0D">
              <w:rPr>
                <w:rFonts w:cs="Arial"/>
                <w:sz w:val="20"/>
              </w:rPr>
              <w:t xml:space="preserve">. Expected future </w:t>
            </w:r>
            <w:r w:rsidR="00BC1E0D" w:rsidRPr="00BC1E0D">
              <w:rPr>
                <w:rFonts w:cs="Arial"/>
                <w:b/>
                <w:sz w:val="20"/>
              </w:rPr>
              <w:t xml:space="preserve">cash flows </w:t>
            </w:r>
            <w:r w:rsidR="00BC1E0D" w:rsidRPr="00BC1E0D">
              <w:rPr>
                <w:rFonts w:cs="Arial"/>
                <w:sz w:val="20"/>
              </w:rPr>
              <w:t xml:space="preserve">that are reflected </w:t>
            </w:r>
            <w:r w:rsidR="00BC1E0D" w:rsidRPr="00BC1E0D">
              <w:rPr>
                <w:rFonts w:cs="Arial"/>
                <w:b/>
                <w:sz w:val="20"/>
              </w:rPr>
              <w:t>are estimated</w:t>
            </w:r>
            <w:r w:rsidR="00BC1E0D" w:rsidRPr="00BC1E0D">
              <w:rPr>
                <w:rFonts w:cs="Arial"/>
                <w:sz w:val="20"/>
              </w:rPr>
              <w:t xml:space="preserve"> using unbiased, current assumptions</w:t>
            </w:r>
          </w:p>
        </w:tc>
        <w:tc>
          <w:tcPr>
            <w:tcW w:w="0" w:type="auto"/>
          </w:tcPr>
          <w:p w14:paraId="6F96B8BF" w14:textId="77777777" w:rsidR="00BC1E0D" w:rsidRPr="00BC1E0D" w:rsidRDefault="00BC1E0D" w:rsidP="00194C4C">
            <w:pPr>
              <w:rPr>
                <w:rFonts w:cs="Arial"/>
                <w:sz w:val="20"/>
              </w:rPr>
            </w:pPr>
          </w:p>
        </w:tc>
        <w:tc>
          <w:tcPr>
            <w:tcW w:w="0" w:type="auto"/>
          </w:tcPr>
          <w:p w14:paraId="043A6B88" w14:textId="77777777" w:rsidR="00BC1E0D" w:rsidRPr="00BC1E0D" w:rsidRDefault="00BC1E0D" w:rsidP="00194C4C">
            <w:pPr>
              <w:rPr>
                <w:rFonts w:cs="Arial"/>
                <w:sz w:val="20"/>
              </w:rPr>
            </w:pPr>
          </w:p>
        </w:tc>
        <w:tc>
          <w:tcPr>
            <w:tcW w:w="0" w:type="auto"/>
          </w:tcPr>
          <w:p w14:paraId="503BE27F" w14:textId="77777777" w:rsidR="00BC1E0D" w:rsidRPr="00BC1E0D" w:rsidRDefault="00BC1E0D" w:rsidP="00194C4C">
            <w:pPr>
              <w:rPr>
                <w:rFonts w:cs="Arial"/>
                <w:sz w:val="20"/>
              </w:rPr>
            </w:pPr>
          </w:p>
        </w:tc>
        <w:tc>
          <w:tcPr>
            <w:tcW w:w="0" w:type="auto"/>
          </w:tcPr>
          <w:p w14:paraId="246D14C7" w14:textId="77777777" w:rsidR="00BC1E0D" w:rsidRPr="00BC1E0D" w:rsidRDefault="00BC1E0D" w:rsidP="00194C4C">
            <w:pPr>
              <w:rPr>
                <w:rFonts w:cs="Arial"/>
                <w:sz w:val="20"/>
              </w:rPr>
            </w:pPr>
          </w:p>
        </w:tc>
      </w:tr>
      <w:tr w:rsidR="00BC1E0D" w:rsidRPr="007B230E" w14:paraId="0CE79477" w14:textId="77777777" w:rsidTr="00194C4C">
        <w:tc>
          <w:tcPr>
            <w:tcW w:w="0" w:type="auto"/>
          </w:tcPr>
          <w:p w14:paraId="5BFEDFF9" w14:textId="1CA56B39" w:rsidR="00BC1E0D" w:rsidRPr="00BC1E0D" w:rsidRDefault="001A3C97" w:rsidP="00194C4C">
            <w:pPr>
              <w:rPr>
                <w:rFonts w:cs="Arial"/>
                <w:sz w:val="20"/>
              </w:rPr>
            </w:pPr>
            <w:r>
              <w:rPr>
                <w:rFonts w:cs="Arial"/>
                <w:sz w:val="20"/>
              </w:rPr>
              <w:t>D</w:t>
            </w:r>
            <w:r w:rsidR="00BC1E0D" w:rsidRPr="00BC1E0D">
              <w:rPr>
                <w:rFonts w:cs="Arial"/>
                <w:sz w:val="20"/>
              </w:rPr>
              <w:t xml:space="preserve">. </w:t>
            </w:r>
            <w:r w:rsidR="00BC1E0D" w:rsidRPr="00BC1E0D">
              <w:rPr>
                <w:rFonts w:cs="Arial"/>
                <w:b/>
                <w:sz w:val="20"/>
              </w:rPr>
              <w:t xml:space="preserve">Present values </w:t>
            </w:r>
            <w:r w:rsidR="00BC1E0D" w:rsidRPr="00BC1E0D">
              <w:rPr>
                <w:rFonts w:cs="Arial"/>
                <w:sz w:val="20"/>
              </w:rPr>
              <w:t>of future cash flows are calculated using unbiased, current discount rates</w:t>
            </w:r>
          </w:p>
        </w:tc>
        <w:tc>
          <w:tcPr>
            <w:tcW w:w="0" w:type="auto"/>
          </w:tcPr>
          <w:p w14:paraId="5BE32A99" w14:textId="77777777" w:rsidR="00BC1E0D" w:rsidRPr="00BC1E0D" w:rsidRDefault="00BC1E0D" w:rsidP="00194C4C">
            <w:pPr>
              <w:rPr>
                <w:rFonts w:cs="Arial"/>
                <w:sz w:val="20"/>
              </w:rPr>
            </w:pPr>
          </w:p>
        </w:tc>
        <w:tc>
          <w:tcPr>
            <w:tcW w:w="0" w:type="auto"/>
          </w:tcPr>
          <w:p w14:paraId="34E612F0" w14:textId="77777777" w:rsidR="00BC1E0D" w:rsidRPr="00BC1E0D" w:rsidRDefault="00BC1E0D" w:rsidP="00194C4C">
            <w:pPr>
              <w:rPr>
                <w:rFonts w:cs="Arial"/>
                <w:sz w:val="20"/>
              </w:rPr>
            </w:pPr>
          </w:p>
        </w:tc>
        <w:tc>
          <w:tcPr>
            <w:tcW w:w="0" w:type="auto"/>
          </w:tcPr>
          <w:p w14:paraId="7971557B" w14:textId="77777777" w:rsidR="00BC1E0D" w:rsidRPr="00BC1E0D" w:rsidRDefault="00BC1E0D" w:rsidP="00194C4C">
            <w:pPr>
              <w:rPr>
                <w:rFonts w:cs="Arial"/>
                <w:sz w:val="20"/>
              </w:rPr>
            </w:pPr>
          </w:p>
        </w:tc>
        <w:tc>
          <w:tcPr>
            <w:tcW w:w="0" w:type="auto"/>
          </w:tcPr>
          <w:p w14:paraId="0BE936CA" w14:textId="77777777" w:rsidR="00BC1E0D" w:rsidRPr="00BC1E0D" w:rsidRDefault="00BC1E0D" w:rsidP="00194C4C">
            <w:pPr>
              <w:rPr>
                <w:rFonts w:cs="Arial"/>
                <w:sz w:val="20"/>
              </w:rPr>
            </w:pPr>
          </w:p>
        </w:tc>
      </w:tr>
    </w:tbl>
    <w:p w14:paraId="2B374BBC" w14:textId="7B8044BD" w:rsidR="00BC1E0D" w:rsidRDefault="00BC1E0D" w:rsidP="00BC1E0D">
      <w:pPr>
        <w:rPr>
          <w:rFonts w:cs="Arial"/>
          <w:lang w:val="en-US"/>
        </w:rPr>
      </w:pPr>
    </w:p>
    <w:p w14:paraId="09F98A53" w14:textId="77777777" w:rsidR="003B499F" w:rsidRPr="00E764EC" w:rsidRDefault="003B499F" w:rsidP="003B499F">
      <w:pPr>
        <w:pStyle w:val="Default"/>
        <w:rPr>
          <w:lang w:val="en-US"/>
        </w:rPr>
      </w:pPr>
    </w:p>
    <w:p w14:paraId="453C5031" w14:textId="1F502A8A" w:rsidR="003B499F" w:rsidRPr="003B499F" w:rsidRDefault="00B25AB9" w:rsidP="003B499F">
      <w:pPr>
        <w:pStyle w:val="Default"/>
        <w:rPr>
          <w:sz w:val="22"/>
          <w:szCs w:val="22"/>
          <w:lang w:val="en-US"/>
        </w:rPr>
      </w:pPr>
      <w:r>
        <w:rPr>
          <w:b/>
          <w:bCs/>
          <w:sz w:val="22"/>
          <w:szCs w:val="22"/>
          <w:lang w:val="en-US"/>
        </w:rPr>
        <w:t>14.9</w:t>
      </w:r>
      <w:r>
        <w:rPr>
          <w:b/>
          <w:bCs/>
          <w:sz w:val="22"/>
          <w:szCs w:val="22"/>
          <w:lang w:val="en-US"/>
        </w:rPr>
        <w:tab/>
      </w:r>
      <w:r w:rsidR="003B499F" w:rsidRPr="003B499F">
        <w:rPr>
          <w:b/>
          <w:bCs/>
          <w:sz w:val="22"/>
          <w:szCs w:val="22"/>
          <w:lang w:val="en-US"/>
        </w:rPr>
        <w:t xml:space="preserve">The MOCE reflects the inherent uncertainty related to all relevant future cash flows that arise in fulfilling insurance obligations over the full time horizon thereof. </w:t>
      </w:r>
    </w:p>
    <w:p w14:paraId="02D9FA0E" w14:textId="77777777" w:rsidR="003B499F" w:rsidRPr="00BC1E0D" w:rsidRDefault="003B499F" w:rsidP="00BC1E0D">
      <w:pPr>
        <w:rPr>
          <w:rFonts w:cs="Arial"/>
          <w:lang w:val="en-US"/>
        </w:rPr>
      </w:pPr>
    </w:p>
    <w:p w14:paraId="03612F1C" w14:textId="53D276A6" w:rsidR="00BC1E0D" w:rsidRPr="00BC1E0D" w:rsidRDefault="00BC1E0D" w:rsidP="00BC1E0D">
      <w:pPr>
        <w:numPr>
          <w:ilvl w:val="0"/>
          <w:numId w:val="1"/>
        </w:numPr>
        <w:spacing w:after="200" w:line="276" w:lineRule="auto"/>
        <w:contextualSpacing/>
        <w:rPr>
          <w:rFonts w:cs="Arial"/>
          <w:lang w:val="en-US"/>
        </w:rPr>
      </w:pPr>
      <w:r w:rsidRPr="00BC1E0D">
        <w:rPr>
          <w:rFonts w:cs="Arial"/>
          <w:lang w:val="en-US"/>
        </w:rPr>
        <w:t>To what extent are the Margins over the Current Estimate (MOCEs) included in the technical provisions in YOUR JURISDICTION required to reflect the inherent uncertainty related to all relevant future cash flows that arise in fulfilling insurance obligations over the full time horizon thereof?</w:t>
      </w:r>
    </w:p>
    <w:p w14:paraId="4C1EA28A" w14:textId="77777777" w:rsidR="00BC1E0D" w:rsidRPr="00BC1E0D" w:rsidRDefault="00BC1E0D" w:rsidP="00BC1E0D">
      <w:pPr>
        <w:spacing w:after="200" w:line="276" w:lineRule="auto"/>
        <w:ind w:left="360"/>
        <w:contextualSpacing/>
        <w:rPr>
          <w:rFonts w:cs="Arial"/>
          <w:lang w:val="en-US"/>
        </w:rPr>
      </w:pPr>
    </w:p>
    <w:tbl>
      <w:tblPr>
        <w:tblStyle w:val="TableGrid1"/>
        <w:tblW w:w="0" w:type="auto"/>
        <w:tblLook w:val="04A0" w:firstRow="1" w:lastRow="0" w:firstColumn="1" w:lastColumn="0" w:noHBand="0" w:noVBand="1"/>
      </w:tblPr>
      <w:tblGrid>
        <w:gridCol w:w="4018"/>
        <w:gridCol w:w="1370"/>
        <w:gridCol w:w="1302"/>
        <w:gridCol w:w="1312"/>
        <w:gridCol w:w="1058"/>
      </w:tblGrid>
      <w:tr w:rsidR="00BC1E0D" w:rsidRPr="00BC1E0D" w14:paraId="5A665F08" w14:textId="77777777" w:rsidTr="00194C4C">
        <w:tc>
          <w:tcPr>
            <w:tcW w:w="0" w:type="auto"/>
          </w:tcPr>
          <w:p w14:paraId="42590769" w14:textId="77777777" w:rsidR="00BC1E0D" w:rsidRPr="00BC1E0D" w:rsidRDefault="00BC1E0D" w:rsidP="00194C4C">
            <w:pPr>
              <w:rPr>
                <w:rFonts w:cs="Arial"/>
                <w:sz w:val="20"/>
              </w:rPr>
            </w:pPr>
          </w:p>
        </w:tc>
        <w:tc>
          <w:tcPr>
            <w:tcW w:w="0" w:type="auto"/>
          </w:tcPr>
          <w:p w14:paraId="6C7E107F" w14:textId="77777777" w:rsidR="00BC1E0D" w:rsidRPr="00BC1E0D" w:rsidRDefault="00BC1E0D" w:rsidP="00194C4C">
            <w:pPr>
              <w:rPr>
                <w:rFonts w:cs="Arial"/>
                <w:sz w:val="20"/>
              </w:rPr>
            </w:pPr>
            <w:r w:rsidRPr="00BC1E0D">
              <w:rPr>
                <w:rFonts w:cs="Arial"/>
                <w:sz w:val="20"/>
              </w:rPr>
              <w:t>1. Explicitly required in all cases</w:t>
            </w:r>
          </w:p>
        </w:tc>
        <w:tc>
          <w:tcPr>
            <w:tcW w:w="0" w:type="auto"/>
          </w:tcPr>
          <w:p w14:paraId="3B4BD1AC" w14:textId="77777777" w:rsidR="00BC1E0D" w:rsidRPr="00BC1E0D" w:rsidRDefault="00BC1E0D" w:rsidP="00194C4C">
            <w:pPr>
              <w:rPr>
                <w:rFonts w:cs="Arial"/>
                <w:sz w:val="20"/>
              </w:rPr>
            </w:pPr>
            <w:r w:rsidRPr="00BC1E0D">
              <w:rPr>
                <w:rFonts w:cs="Arial"/>
                <w:sz w:val="20"/>
              </w:rPr>
              <w:t>2. Required in most cases</w:t>
            </w:r>
          </w:p>
        </w:tc>
        <w:tc>
          <w:tcPr>
            <w:tcW w:w="0" w:type="auto"/>
          </w:tcPr>
          <w:p w14:paraId="66B77EEF" w14:textId="77777777" w:rsidR="00BC1E0D" w:rsidRPr="00BC1E0D" w:rsidRDefault="00BC1E0D" w:rsidP="00194C4C">
            <w:pPr>
              <w:rPr>
                <w:rFonts w:cs="Arial"/>
                <w:sz w:val="20"/>
              </w:rPr>
            </w:pPr>
            <w:r w:rsidRPr="00BC1E0D">
              <w:rPr>
                <w:rFonts w:cs="Arial"/>
                <w:sz w:val="20"/>
              </w:rPr>
              <w:t>3. Required in some cases</w:t>
            </w:r>
          </w:p>
        </w:tc>
        <w:tc>
          <w:tcPr>
            <w:tcW w:w="0" w:type="auto"/>
          </w:tcPr>
          <w:p w14:paraId="288D93A8" w14:textId="77777777" w:rsidR="00BC1E0D" w:rsidRPr="00BC1E0D" w:rsidRDefault="00BC1E0D" w:rsidP="00194C4C">
            <w:pPr>
              <w:rPr>
                <w:rFonts w:cs="Arial"/>
                <w:sz w:val="20"/>
              </w:rPr>
            </w:pPr>
            <w:r w:rsidRPr="00BC1E0D">
              <w:rPr>
                <w:rFonts w:cs="Arial"/>
                <w:sz w:val="20"/>
              </w:rPr>
              <w:t>4. Not required</w:t>
            </w:r>
          </w:p>
        </w:tc>
      </w:tr>
      <w:tr w:rsidR="00BC1E0D" w:rsidRPr="007B230E" w14:paraId="2C742839" w14:textId="77777777" w:rsidTr="00194C4C">
        <w:tc>
          <w:tcPr>
            <w:tcW w:w="0" w:type="auto"/>
          </w:tcPr>
          <w:p w14:paraId="2458AF4B" w14:textId="0FB95964" w:rsidR="00BC1E0D" w:rsidRPr="00BC1E0D" w:rsidRDefault="001A3C97" w:rsidP="00194C4C">
            <w:pPr>
              <w:rPr>
                <w:rFonts w:cs="Arial"/>
                <w:sz w:val="20"/>
              </w:rPr>
            </w:pPr>
            <w:r>
              <w:rPr>
                <w:rFonts w:cs="Arial"/>
                <w:sz w:val="20"/>
              </w:rPr>
              <w:t>A</w:t>
            </w:r>
            <w:r w:rsidR="00BC1E0D" w:rsidRPr="00BC1E0D">
              <w:rPr>
                <w:rFonts w:cs="Arial"/>
                <w:sz w:val="20"/>
              </w:rPr>
              <w:t xml:space="preserve">. Inherent uncertainty related to all </w:t>
            </w:r>
            <w:r w:rsidR="00BC1E0D" w:rsidRPr="00BC1E0D">
              <w:rPr>
                <w:rFonts w:cs="Arial"/>
                <w:b/>
                <w:sz w:val="20"/>
              </w:rPr>
              <w:t>relevant types</w:t>
            </w:r>
            <w:r w:rsidR="00BC1E0D" w:rsidRPr="00BC1E0D">
              <w:rPr>
                <w:rFonts w:cs="Arial"/>
                <w:sz w:val="20"/>
              </w:rPr>
              <w:t xml:space="preserve"> of future cash flows that arise in fulfilling insurance obligations is reflected in the MOCE</w:t>
            </w:r>
          </w:p>
        </w:tc>
        <w:tc>
          <w:tcPr>
            <w:tcW w:w="0" w:type="auto"/>
          </w:tcPr>
          <w:p w14:paraId="79498D9C" w14:textId="77777777" w:rsidR="00BC1E0D" w:rsidRPr="00BC1E0D" w:rsidRDefault="00BC1E0D" w:rsidP="00194C4C">
            <w:pPr>
              <w:rPr>
                <w:rFonts w:cs="Arial"/>
                <w:sz w:val="20"/>
              </w:rPr>
            </w:pPr>
          </w:p>
        </w:tc>
        <w:tc>
          <w:tcPr>
            <w:tcW w:w="0" w:type="auto"/>
          </w:tcPr>
          <w:p w14:paraId="15CA90D0" w14:textId="77777777" w:rsidR="00BC1E0D" w:rsidRPr="00BC1E0D" w:rsidRDefault="00BC1E0D" w:rsidP="00194C4C">
            <w:pPr>
              <w:rPr>
                <w:rFonts w:cs="Arial"/>
                <w:sz w:val="20"/>
              </w:rPr>
            </w:pPr>
          </w:p>
        </w:tc>
        <w:tc>
          <w:tcPr>
            <w:tcW w:w="0" w:type="auto"/>
          </w:tcPr>
          <w:p w14:paraId="172227D9" w14:textId="77777777" w:rsidR="00BC1E0D" w:rsidRPr="00BC1E0D" w:rsidRDefault="00BC1E0D" w:rsidP="00194C4C">
            <w:pPr>
              <w:rPr>
                <w:rFonts w:cs="Arial"/>
                <w:sz w:val="20"/>
              </w:rPr>
            </w:pPr>
          </w:p>
        </w:tc>
        <w:tc>
          <w:tcPr>
            <w:tcW w:w="0" w:type="auto"/>
          </w:tcPr>
          <w:p w14:paraId="145F70B9" w14:textId="77777777" w:rsidR="00BC1E0D" w:rsidRPr="00BC1E0D" w:rsidRDefault="00BC1E0D" w:rsidP="00194C4C">
            <w:pPr>
              <w:rPr>
                <w:rFonts w:cs="Arial"/>
                <w:sz w:val="20"/>
              </w:rPr>
            </w:pPr>
          </w:p>
        </w:tc>
      </w:tr>
      <w:tr w:rsidR="00BC1E0D" w:rsidRPr="007B230E" w14:paraId="432AED66" w14:textId="77777777" w:rsidTr="00194C4C">
        <w:tc>
          <w:tcPr>
            <w:tcW w:w="0" w:type="auto"/>
          </w:tcPr>
          <w:p w14:paraId="7F37E354" w14:textId="2741FB12" w:rsidR="00BC1E0D" w:rsidRPr="00BC1E0D" w:rsidRDefault="001A3C97" w:rsidP="00194C4C">
            <w:pPr>
              <w:rPr>
                <w:rFonts w:cs="Arial"/>
                <w:sz w:val="20"/>
              </w:rPr>
            </w:pPr>
            <w:r>
              <w:rPr>
                <w:rFonts w:cs="Arial"/>
                <w:sz w:val="20"/>
              </w:rPr>
              <w:t>B</w:t>
            </w:r>
            <w:r w:rsidR="00BC1E0D" w:rsidRPr="00BC1E0D">
              <w:rPr>
                <w:rFonts w:cs="Arial"/>
                <w:sz w:val="20"/>
              </w:rPr>
              <w:t xml:space="preserve">. Inherent uncertainty related to the types of future cash flows that are reflected in the MOCE is considered </w:t>
            </w:r>
            <w:r w:rsidR="00BC1E0D" w:rsidRPr="00BC1E0D">
              <w:rPr>
                <w:rFonts w:cs="Arial"/>
                <w:b/>
                <w:sz w:val="20"/>
              </w:rPr>
              <w:t>over the full time horizon</w:t>
            </w:r>
            <w:r w:rsidR="00BC1E0D" w:rsidRPr="00BC1E0D">
              <w:rPr>
                <w:rFonts w:cs="Arial"/>
                <w:sz w:val="20"/>
              </w:rPr>
              <w:t xml:space="preserve"> required to fulfill insurance obligations</w:t>
            </w:r>
          </w:p>
        </w:tc>
        <w:tc>
          <w:tcPr>
            <w:tcW w:w="0" w:type="auto"/>
          </w:tcPr>
          <w:p w14:paraId="1E18F871" w14:textId="77777777" w:rsidR="00BC1E0D" w:rsidRPr="00BC1E0D" w:rsidRDefault="00BC1E0D" w:rsidP="00194C4C">
            <w:pPr>
              <w:rPr>
                <w:rFonts w:cs="Arial"/>
                <w:sz w:val="20"/>
              </w:rPr>
            </w:pPr>
          </w:p>
        </w:tc>
        <w:tc>
          <w:tcPr>
            <w:tcW w:w="0" w:type="auto"/>
          </w:tcPr>
          <w:p w14:paraId="3EFFC252" w14:textId="77777777" w:rsidR="00BC1E0D" w:rsidRPr="00BC1E0D" w:rsidRDefault="00BC1E0D" w:rsidP="00194C4C">
            <w:pPr>
              <w:rPr>
                <w:rFonts w:cs="Arial"/>
                <w:sz w:val="20"/>
              </w:rPr>
            </w:pPr>
          </w:p>
        </w:tc>
        <w:tc>
          <w:tcPr>
            <w:tcW w:w="0" w:type="auto"/>
          </w:tcPr>
          <w:p w14:paraId="74CE9143" w14:textId="77777777" w:rsidR="00BC1E0D" w:rsidRPr="00BC1E0D" w:rsidRDefault="00BC1E0D" w:rsidP="00194C4C">
            <w:pPr>
              <w:rPr>
                <w:rFonts w:cs="Arial"/>
                <w:sz w:val="20"/>
              </w:rPr>
            </w:pPr>
          </w:p>
        </w:tc>
        <w:tc>
          <w:tcPr>
            <w:tcW w:w="0" w:type="auto"/>
          </w:tcPr>
          <w:p w14:paraId="33A7B080" w14:textId="77777777" w:rsidR="00BC1E0D" w:rsidRPr="00BC1E0D" w:rsidRDefault="00BC1E0D" w:rsidP="00194C4C">
            <w:pPr>
              <w:rPr>
                <w:rFonts w:cs="Arial"/>
                <w:sz w:val="20"/>
              </w:rPr>
            </w:pPr>
          </w:p>
        </w:tc>
      </w:tr>
      <w:tr w:rsidR="00BC1E0D" w:rsidRPr="007B230E" w14:paraId="4C296231" w14:textId="77777777" w:rsidTr="00194C4C">
        <w:tc>
          <w:tcPr>
            <w:tcW w:w="0" w:type="auto"/>
          </w:tcPr>
          <w:p w14:paraId="60E24628" w14:textId="07BE226E" w:rsidR="00BC1E0D" w:rsidRPr="00BC1E0D" w:rsidRDefault="001A3C97" w:rsidP="00194C4C">
            <w:pPr>
              <w:rPr>
                <w:rFonts w:cs="Arial"/>
                <w:sz w:val="20"/>
              </w:rPr>
            </w:pPr>
            <w:r>
              <w:rPr>
                <w:rFonts w:cs="Arial"/>
                <w:sz w:val="20"/>
              </w:rPr>
              <w:t>C</w:t>
            </w:r>
            <w:r w:rsidR="00BC1E0D" w:rsidRPr="00BC1E0D">
              <w:rPr>
                <w:rFonts w:cs="Arial"/>
                <w:sz w:val="20"/>
              </w:rPr>
              <w:t xml:space="preserve">. Inherent uncertainty </w:t>
            </w:r>
            <w:r w:rsidR="00BC1E0D" w:rsidRPr="00BC1E0D">
              <w:rPr>
                <w:rFonts w:cs="Arial"/>
                <w:b/>
                <w:sz w:val="20"/>
              </w:rPr>
              <w:t>unrelated</w:t>
            </w:r>
            <w:r w:rsidR="00BC1E0D" w:rsidRPr="00BC1E0D">
              <w:rPr>
                <w:rFonts w:cs="Arial"/>
                <w:sz w:val="20"/>
              </w:rPr>
              <w:t xml:space="preserve"> to the future cash flows that arise in fulfilling insurance obligations is </w:t>
            </w:r>
            <w:r w:rsidR="00BC1E0D" w:rsidRPr="00BC1E0D">
              <w:rPr>
                <w:rFonts w:cs="Arial"/>
                <w:b/>
                <w:sz w:val="20"/>
              </w:rPr>
              <w:t>not reflected</w:t>
            </w:r>
            <w:r w:rsidR="00BC1E0D" w:rsidRPr="00BC1E0D">
              <w:rPr>
                <w:rFonts w:cs="Arial"/>
                <w:sz w:val="20"/>
              </w:rPr>
              <w:t xml:space="preserve"> in the MOCE</w:t>
            </w:r>
          </w:p>
        </w:tc>
        <w:tc>
          <w:tcPr>
            <w:tcW w:w="0" w:type="auto"/>
          </w:tcPr>
          <w:p w14:paraId="63AA6025" w14:textId="77777777" w:rsidR="00BC1E0D" w:rsidRPr="00BC1E0D" w:rsidRDefault="00BC1E0D" w:rsidP="00194C4C">
            <w:pPr>
              <w:rPr>
                <w:rFonts w:cs="Arial"/>
                <w:sz w:val="20"/>
              </w:rPr>
            </w:pPr>
          </w:p>
        </w:tc>
        <w:tc>
          <w:tcPr>
            <w:tcW w:w="0" w:type="auto"/>
          </w:tcPr>
          <w:p w14:paraId="1A374FB3" w14:textId="77777777" w:rsidR="00BC1E0D" w:rsidRPr="00BC1E0D" w:rsidRDefault="00BC1E0D" w:rsidP="00194C4C">
            <w:pPr>
              <w:rPr>
                <w:rFonts w:cs="Arial"/>
                <w:sz w:val="20"/>
              </w:rPr>
            </w:pPr>
          </w:p>
        </w:tc>
        <w:tc>
          <w:tcPr>
            <w:tcW w:w="0" w:type="auto"/>
          </w:tcPr>
          <w:p w14:paraId="56F93ADA" w14:textId="77777777" w:rsidR="00BC1E0D" w:rsidRPr="00BC1E0D" w:rsidRDefault="00BC1E0D" w:rsidP="00194C4C">
            <w:pPr>
              <w:rPr>
                <w:rFonts w:cs="Arial"/>
                <w:sz w:val="20"/>
              </w:rPr>
            </w:pPr>
          </w:p>
        </w:tc>
        <w:tc>
          <w:tcPr>
            <w:tcW w:w="0" w:type="auto"/>
          </w:tcPr>
          <w:p w14:paraId="32539935" w14:textId="77777777" w:rsidR="00BC1E0D" w:rsidRPr="00BC1E0D" w:rsidRDefault="00BC1E0D" w:rsidP="00194C4C">
            <w:pPr>
              <w:rPr>
                <w:rFonts w:cs="Arial"/>
                <w:sz w:val="20"/>
              </w:rPr>
            </w:pPr>
          </w:p>
        </w:tc>
      </w:tr>
      <w:tr w:rsidR="00BC1E0D" w:rsidRPr="007B230E" w14:paraId="3CADEF11" w14:textId="77777777" w:rsidTr="00194C4C">
        <w:tc>
          <w:tcPr>
            <w:tcW w:w="0" w:type="auto"/>
          </w:tcPr>
          <w:p w14:paraId="6AA8C6C4" w14:textId="1AAFC3E3" w:rsidR="00BC1E0D" w:rsidRPr="00BC1E0D" w:rsidRDefault="001A3C97" w:rsidP="00194C4C">
            <w:pPr>
              <w:rPr>
                <w:rFonts w:cs="Arial"/>
                <w:sz w:val="20"/>
              </w:rPr>
            </w:pPr>
            <w:r>
              <w:rPr>
                <w:rFonts w:cs="Arial"/>
                <w:sz w:val="20"/>
              </w:rPr>
              <w:t>D</w:t>
            </w:r>
            <w:r w:rsidR="00BC1E0D" w:rsidRPr="00BC1E0D">
              <w:rPr>
                <w:rFonts w:cs="Arial"/>
                <w:sz w:val="20"/>
              </w:rPr>
              <w:t xml:space="preserve">. Steps are taken to promote </w:t>
            </w:r>
            <w:r w:rsidR="00BC1E0D" w:rsidRPr="00BC1E0D">
              <w:rPr>
                <w:rFonts w:cs="Arial"/>
                <w:b/>
                <w:sz w:val="20"/>
              </w:rPr>
              <w:t>consistency</w:t>
            </w:r>
            <w:r w:rsidR="00BC1E0D" w:rsidRPr="00BC1E0D">
              <w:rPr>
                <w:rFonts w:cs="Arial"/>
                <w:sz w:val="20"/>
              </w:rPr>
              <w:t>, so that insurance obligations with similar risk profiles have similar MOCEs</w:t>
            </w:r>
          </w:p>
        </w:tc>
        <w:tc>
          <w:tcPr>
            <w:tcW w:w="0" w:type="auto"/>
          </w:tcPr>
          <w:p w14:paraId="67DE4CA7" w14:textId="77777777" w:rsidR="00BC1E0D" w:rsidRPr="00BC1E0D" w:rsidRDefault="00BC1E0D" w:rsidP="00194C4C">
            <w:pPr>
              <w:rPr>
                <w:rFonts w:cs="Arial"/>
                <w:sz w:val="20"/>
              </w:rPr>
            </w:pPr>
          </w:p>
        </w:tc>
        <w:tc>
          <w:tcPr>
            <w:tcW w:w="0" w:type="auto"/>
          </w:tcPr>
          <w:p w14:paraId="562FA1BF" w14:textId="77777777" w:rsidR="00BC1E0D" w:rsidRPr="00BC1E0D" w:rsidRDefault="00BC1E0D" w:rsidP="00194C4C">
            <w:pPr>
              <w:rPr>
                <w:rFonts w:cs="Arial"/>
                <w:sz w:val="20"/>
              </w:rPr>
            </w:pPr>
          </w:p>
        </w:tc>
        <w:tc>
          <w:tcPr>
            <w:tcW w:w="0" w:type="auto"/>
          </w:tcPr>
          <w:p w14:paraId="7C5CF89F" w14:textId="77777777" w:rsidR="00BC1E0D" w:rsidRPr="00BC1E0D" w:rsidRDefault="00BC1E0D" w:rsidP="00194C4C">
            <w:pPr>
              <w:rPr>
                <w:rFonts w:cs="Arial"/>
                <w:sz w:val="20"/>
              </w:rPr>
            </w:pPr>
          </w:p>
        </w:tc>
        <w:tc>
          <w:tcPr>
            <w:tcW w:w="0" w:type="auto"/>
          </w:tcPr>
          <w:p w14:paraId="15BADC9B" w14:textId="77777777" w:rsidR="00BC1E0D" w:rsidRPr="00BC1E0D" w:rsidRDefault="00BC1E0D" w:rsidP="00194C4C">
            <w:pPr>
              <w:rPr>
                <w:rFonts w:cs="Arial"/>
                <w:sz w:val="20"/>
              </w:rPr>
            </w:pPr>
          </w:p>
        </w:tc>
      </w:tr>
    </w:tbl>
    <w:p w14:paraId="4E0B80DD" w14:textId="77777777" w:rsidR="003B499F" w:rsidRPr="00E764EC" w:rsidRDefault="003B499F" w:rsidP="003B499F">
      <w:pPr>
        <w:pStyle w:val="Default"/>
        <w:rPr>
          <w:lang w:val="en-US"/>
        </w:rPr>
      </w:pPr>
    </w:p>
    <w:p w14:paraId="2A5B7AC0" w14:textId="617CAE79" w:rsidR="003B499F" w:rsidRPr="003B499F" w:rsidRDefault="00B25AB9" w:rsidP="003B499F">
      <w:pPr>
        <w:pStyle w:val="Default"/>
        <w:rPr>
          <w:sz w:val="22"/>
          <w:szCs w:val="22"/>
          <w:lang w:val="en-US"/>
        </w:rPr>
      </w:pPr>
      <w:r>
        <w:rPr>
          <w:b/>
          <w:bCs/>
          <w:sz w:val="22"/>
          <w:szCs w:val="22"/>
          <w:lang w:val="en-US"/>
        </w:rPr>
        <w:t>14.10</w:t>
      </w:r>
      <w:r>
        <w:rPr>
          <w:b/>
          <w:bCs/>
          <w:sz w:val="22"/>
          <w:szCs w:val="22"/>
          <w:lang w:val="en-US"/>
        </w:rPr>
        <w:tab/>
      </w:r>
      <w:r w:rsidR="003B499F" w:rsidRPr="003B499F">
        <w:rPr>
          <w:b/>
          <w:bCs/>
          <w:sz w:val="22"/>
          <w:szCs w:val="22"/>
          <w:lang w:val="en-US"/>
        </w:rPr>
        <w:t xml:space="preserve">The valuation of technical provisions allows for the time value of money. The supervisor establishes criteria for the determination of appropriate rates to be used in the discounting of technical provisions. </w:t>
      </w:r>
    </w:p>
    <w:p w14:paraId="77B920F6" w14:textId="77777777" w:rsidR="00BC1E0D" w:rsidRPr="00BC1E0D" w:rsidRDefault="00BC1E0D" w:rsidP="00BC1E0D">
      <w:pPr>
        <w:rPr>
          <w:rFonts w:cs="Arial"/>
          <w:lang w:val="en-US"/>
        </w:rPr>
      </w:pPr>
    </w:p>
    <w:p w14:paraId="143269A4" w14:textId="77777777" w:rsidR="00BC1E0D" w:rsidRPr="00BC1E0D" w:rsidRDefault="00BC1E0D" w:rsidP="00BC1E0D">
      <w:pPr>
        <w:numPr>
          <w:ilvl w:val="0"/>
          <w:numId w:val="1"/>
        </w:numPr>
        <w:spacing w:after="200" w:line="276" w:lineRule="auto"/>
        <w:contextualSpacing/>
        <w:rPr>
          <w:rFonts w:cs="Arial"/>
          <w:lang w:val="en-US"/>
        </w:rPr>
      </w:pPr>
      <w:r w:rsidRPr="00BC1E0D">
        <w:rPr>
          <w:rFonts w:cs="Arial"/>
          <w:lang w:val="en-US"/>
        </w:rPr>
        <w:t>To what extent do the valuations of technical provisions in YOUR JURISDICTION allow for the time value of money?</w:t>
      </w:r>
    </w:p>
    <w:p w14:paraId="6D0B7E2F" w14:textId="77777777" w:rsidR="00BC1E0D" w:rsidRPr="00BC1E0D" w:rsidRDefault="00BC1E0D" w:rsidP="00BC1E0D">
      <w:pPr>
        <w:numPr>
          <w:ilvl w:val="1"/>
          <w:numId w:val="1"/>
        </w:numPr>
        <w:spacing w:after="200" w:line="276" w:lineRule="auto"/>
        <w:contextualSpacing/>
        <w:rPr>
          <w:rFonts w:cs="Arial"/>
          <w:lang w:val="en-US"/>
        </w:rPr>
      </w:pPr>
      <w:r w:rsidRPr="00BC1E0D">
        <w:rPr>
          <w:rFonts w:cs="Arial"/>
          <w:lang w:val="en-US"/>
        </w:rPr>
        <w:t>The valuations of all types of technical provisions for both life and non-life insurance obligations allow for the time value of money.</w:t>
      </w:r>
    </w:p>
    <w:p w14:paraId="6CF4C775" w14:textId="77777777" w:rsidR="00BC1E0D" w:rsidRPr="00BC1E0D" w:rsidRDefault="00BC1E0D" w:rsidP="00BC1E0D">
      <w:pPr>
        <w:numPr>
          <w:ilvl w:val="1"/>
          <w:numId w:val="1"/>
        </w:numPr>
        <w:spacing w:after="200" w:line="276" w:lineRule="auto"/>
        <w:contextualSpacing/>
        <w:rPr>
          <w:rFonts w:cs="Arial"/>
          <w:lang w:val="en-US"/>
        </w:rPr>
      </w:pPr>
      <w:r w:rsidRPr="00BC1E0D">
        <w:rPr>
          <w:rFonts w:cs="Arial"/>
          <w:lang w:val="en-US"/>
        </w:rPr>
        <w:t>The valuations of all types of technical provisions for both life and non-life insurance obligations allow for the time value of money, except for technical provisions for insurance obligations where the effect of the time value of money is insignificant.</w:t>
      </w:r>
    </w:p>
    <w:p w14:paraId="0594D369" w14:textId="77777777" w:rsidR="00BC1E0D" w:rsidRPr="00BC1E0D" w:rsidRDefault="00BC1E0D" w:rsidP="00BC1E0D">
      <w:pPr>
        <w:numPr>
          <w:ilvl w:val="1"/>
          <w:numId w:val="1"/>
        </w:numPr>
        <w:spacing w:after="200" w:line="276" w:lineRule="auto"/>
        <w:contextualSpacing/>
        <w:rPr>
          <w:rFonts w:cs="Arial"/>
          <w:lang w:val="en-US"/>
        </w:rPr>
      </w:pPr>
      <w:r w:rsidRPr="00BC1E0D">
        <w:rPr>
          <w:rFonts w:cs="Arial"/>
          <w:lang w:val="en-US"/>
        </w:rPr>
        <w:t>The valuations of all types of technical provisions for life insurance obligations allow for the time value of money, but those for non-life insurance obligations do not.</w:t>
      </w:r>
    </w:p>
    <w:p w14:paraId="397F1905" w14:textId="77777777" w:rsidR="00BC1E0D" w:rsidRPr="00BC1E0D" w:rsidRDefault="00BC1E0D" w:rsidP="00BC1E0D">
      <w:pPr>
        <w:numPr>
          <w:ilvl w:val="1"/>
          <w:numId w:val="1"/>
        </w:numPr>
        <w:spacing w:after="200" w:line="276" w:lineRule="auto"/>
        <w:contextualSpacing/>
        <w:rPr>
          <w:rFonts w:cs="Arial"/>
          <w:lang w:val="en-US"/>
        </w:rPr>
      </w:pPr>
      <w:r w:rsidRPr="00BC1E0D">
        <w:rPr>
          <w:rFonts w:cs="Arial"/>
          <w:lang w:val="en-US"/>
        </w:rPr>
        <w:t>The valuations of all types of technical provisions for life insurance obligations allow for the time value of money, except for technical provisions for life insurance obligations where the effect of the time value of money is insignificant. The valuations of technical provisions for non-life insurance obligations do not allow for the time value of money.</w:t>
      </w:r>
    </w:p>
    <w:p w14:paraId="5BEF9F4B" w14:textId="77777777" w:rsidR="00BC1E0D" w:rsidRPr="00BC1E0D" w:rsidRDefault="00BC1E0D" w:rsidP="00BC1E0D">
      <w:pPr>
        <w:numPr>
          <w:ilvl w:val="1"/>
          <w:numId w:val="1"/>
        </w:numPr>
        <w:spacing w:after="200" w:line="276" w:lineRule="auto"/>
        <w:contextualSpacing/>
        <w:rPr>
          <w:rFonts w:cs="Arial"/>
          <w:lang w:val="en-US"/>
        </w:rPr>
      </w:pPr>
      <w:r w:rsidRPr="00BC1E0D">
        <w:rPr>
          <w:rFonts w:cs="Arial"/>
          <w:lang w:val="en-US"/>
        </w:rPr>
        <w:t>The valuations of technical provisions do not allow for the time value of money.</w:t>
      </w:r>
    </w:p>
    <w:p w14:paraId="12BEEF38" w14:textId="77777777" w:rsidR="00BC1E0D" w:rsidRPr="00BC1E0D" w:rsidRDefault="00BC1E0D" w:rsidP="00BC1E0D">
      <w:pPr>
        <w:rPr>
          <w:rFonts w:cs="Arial"/>
          <w:lang w:val="en-US"/>
        </w:rPr>
      </w:pPr>
    </w:p>
    <w:p w14:paraId="41EBEB32" w14:textId="77777777" w:rsidR="00BC1E0D" w:rsidRPr="00BC1E0D" w:rsidRDefault="00BC1E0D" w:rsidP="00BC1E0D">
      <w:pPr>
        <w:numPr>
          <w:ilvl w:val="0"/>
          <w:numId w:val="1"/>
        </w:numPr>
        <w:spacing w:after="200" w:line="276" w:lineRule="auto"/>
        <w:contextualSpacing/>
        <w:rPr>
          <w:rFonts w:cs="Arial"/>
          <w:lang w:val="en-US"/>
        </w:rPr>
      </w:pPr>
      <w:r w:rsidRPr="00BC1E0D">
        <w:rPr>
          <w:rFonts w:cs="Arial"/>
          <w:lang w:val="en-US"/>
        </w:rPr>
        <w:t>To what extent have criteria for the determination of appropriate rates to be used in the discounting of technical provisions been established in YOUR JURISDICTION?</w:t>
      </w:r>
    </w:p>
    <w:p w14:paraId="12AAAB51" w14:textId="77777777" w:rsidR="00BC1E0D" w:rsidRPr="00BC1E0D" w:rsidRDefault="00BC1E0D" w:rsidP="00BC1E0D">
      <w:pPr>
        <w:numPr>
          <w:ilvl w:val="1"/>
          <w:numId w:val="1"/>
        </w:numPr>
        <w:spacing w:after="200" w:line="276" w:lineRule="auto"/>
        <w:contextualSpacing/>
        <w:rPr>
          <w:rFonts w:cs="Arial"/>
          <w:lang w:val="en-US"/>
        </w:rPr>
      </w:pPr>
      <w:r w:rsidRPr="00BC1E0D">
        <w:rPr>
          <w:rFonts w:cs="Arial"/>
          <w:lang w:val="en-US"/>
        </w:rPr>
        <w:t>Criteria have been explicitly established by legislation.</w:t>
      </w:r>
    </w:p>
    <w:p w14:paraId="387B0736" w14:textId="77777777" w:rsidR="00BC1E0D" w:rsidRPr="00BC1E0D" w:rsidRDefault="00BC1E0D" w:rsidP="00BC1E0D">
      <w:pPr>
        <w:numPr>
          <w:ilvl w:val="1"/>
          <w:numId w:val="1"/>
        </w:numPr>
        <w:spacing w:after="200" w:line="276" w:lineRule="auto"/>
        <w:contextualSpacing/>
        <w:rPr>
          <w:rFonts w:cs="Arial"/>
          <w:lang w:val="en-US"/>
        </w:rPr>
      </w:pPr>
      <w:r w:rsidRPr="00BC1E0D">
        <w:rPr>
          <w:rFonts w:cs="Arial"/>
          <w:lang w:val="en-US"/>
        </w:rPr>
        <w:t>Criteria have been explicitly set out under actuarial or financial reporting standards.</w:t>
      </w:r>
    </w:p>
    <w:p w14:paraId="62D072B7" w14:textId="77777777" w:rsidR="00BC1E0D" w:rsidRPr="00BC1E0D" w:rsidRDefault="00BC1E0D" w:rsidP="00BC1E0D">
      <w:pPr>
        <w:numPr>
          <w:ilvl w:val="1"/>
          <w:numId w:val="1"/>
        </w:numPr>
        <w:spacing w:after="200" w:line="276" w:lineRule="auto"/>
        <w:contextualSpacing/>
        <w:rPr>
          <w:rFonts w:cs="Arial"/>
          <w:lang w:val="en-US"/>
        </w:rPr>
      </w:pPr>
      <w:r w:rsidRPr="00BC1E0D">
        <w:rPr>
          <w:rFonts w:cs="Arial"/>
          <w:lang w:val="en-US"/>
        </w:rPr>
        <w:t>Criteria have been broadly established by legislation and further elaborated through  supervisory guidelines.</w:t>
      </w:r>
    </w:p>
    <w:p w14:paraId="71CDB6FC" w14:textId="77777777" w:rsidR="00BC1E0D" w:rsidRPr="00BC1E0D" w:rsidRDefault="00BC1E0D" w:rsidP="00BC1E0D">
      <w:pPr>
        <w:numPr>
          <w:ilvl w:val="1"/>
          <w:numId w:val="1"/>
        </w:numPr>
        <w:spacing w:after="200" w:line="276" w:lineRule="auto"/>
        <w:contextualSpacing/>
        <w:rPr>
          <w:rFonts w:cs="Arial"/>
          <w:lang w:val="en-US"/>
        </w:rPr>
      </w:pPr>
      <w:r w:rsidRPr="00BC1E0D">
        <w:rPr>
          <w:rFonts w:cs="Arial"/>
          <w:lang w:val="en-US"/>
        </w:rPr>
        <w:t>Criteria have been broadly set out under actuarial or financial reporting standards and further elaborated through supervisory guidelines.</w:t>
      </w:r>
    </w:p>
    <w:p w14:paraId="7BF1DFF3" w14:textId="77777777" w:rsidR="00BC1E0D" w:rsidRPr="00BC1E0D" w:rsidRDefault="00BC1E0D" w:rsidP="00BC1E0D">
      <w:pPr>
        <w:numPr>
          <w:ilvl w:val="1"/>
          <w:numId w:val="1"/>
        </w:numPr>
        <w:spacing w:after="200" w:line="276" w:lineRule="auto"/>
        <w:contextualSpacing/>
        <w:rPr>
          <w:rFonts w:cs="Arial"/>
          <w:lang w:val="en-US"/>
        </w:rPr>
      </w:pPr>
      <w:r w:rsidRPr="00BC1E0D">
        <w:rPr>
          <w:rFonts w:cs="Arial"/>
          <w:lang w:val="en-US"/>
        </w:rPr>
        <w:t>Criteria have been established through supervisory guidelines.</w:t>
      </w:r>
    </w:p>
    <w:p w14:paraId="0929579B" w14:textId="77777777" w:rsidR="00BC1E0D" w:rsidRPr="00BC1E0D" w:rsidRDefault="00BC1E0D" w:rsidP="00BC1E0D">
      <w:pPr>
        <w:numPr>
          <w:ilvl w:val="1"/>
          <w:numId w:val="1"/>
        </w:numPr>
        <w:spacing w:after="200" w:line="276" w:lineRule="auto"/>
        <w:contextualSpacing/>
        <w:rPr>
          <w:rFonts w:cs="Arial"/>
          <w:lang w:val="en-US"/>
        </w:rPr>
      </w:pPr>
      <w:r w:rsidRPr="00BC1E0D">
        <w:rPr>
          <w:rFonts w:cs="Arial"/>
          <w:lang w:val="en-US"/>
        </w:rPr>
        <w:t>There are no specific criteria, but YOUR AUTHORITY advises insurers when it believes that the rates being used are inappropriate.</w:t>
      </w:r>
    </w:p>
    <w:p w14:paraId="12127F32" w14:textId="77777777" w:rsidR="00BC1E0D" w:rsidRPr="00BC1E0D" w:rsidRDefault="00BC1E0D" w:rsidP="00BC1E0D">
      <w:pPr>
        <w:numPr>
          <w:ilvl w:val="1"/>
          <w:numId w:val="1"/>
        </w:numPr>
        <w:spacing w:after="200" w:line="276" w:lineRule="auto"/>
        <w:contextualSpacing/>
        <w:rPr>
          <w:rFonts w:cs="Arial"/>
          <w:lang w:val="en-US"/>
        </w:rPr>
      </w:pPr>
      <w:r w:rsidRPr="00BC1E0D">
        <w:rPr>
          <w:rFonts w:cs="Arial"/>
          <w:lang w:val="en-US"/>
        </w:rPr>
        <w:t>There are no specific criteria and no supervisory expectation for the determination of appropriate discount rates has been communicated in YOUR JURISDICTION.</w:t>
      </w:r>
    </w:p>
    <w:p w14:paraId="6BFFB039" w14:textId="36C18C5F" w:rsidR="003A4704" w:rsidRPr="00E764EC" w:rsidRDefault="003A4704">
      <w:pPr>
        <w:spacing w:after="160" w:line="259" w:lineRule="auto"/>
        <w:rPr>
          <w:rFonts w:cs="Arial"/>
          <w:color w:val="000000"/>
          <w:sz w:val="24"/>
          <w:szCs w:val="24"/>
          <w:lang w:val="en-US" w:eastAsia="zh-CN"/>
        </w:rPr>
      </w:pPr>
      <w:r w:rsidRPr="00E764EC">
        <w:rPr>
          <w:lang w:val="en-US"/>
        </w:rPr>
        <w:br w:type="page"/>
      </w:r>
    </w:p>
    <w:p w14:paraId="4B1872D1" w14:textId="073E3698" w:rsidR="003B499F" w:rsidRDefault="00B25AB9" w:rsidP="00B25AB9">
      <w:pPr>
        <w:pStyle w:val="Default"/>
        <w:rPr>
          <w:b/>
          <w:bCs/>
          <w:sz w:val="22"/>
          <w:szCs w:val="22"/>
          <w:lang w:val="en-US"/>
        </w:rPr>
      </w:pPr>
      <w:r>
        <w:rPr>
          <w:b/>
          <w:bCs/>
          <w:sz w:val="22"/>
          <w:szCs w:val="22"/>
          <w:lang w:val="en-US"/>
        </w:rPr>
        <w:t>14.11</w:t>
      </w:r>
      <w:r>
        <w:rPr>
          <w:b/>
          <w:bCs/>
          <w:sz w:val="22"/>
          <w:szCs w:val="22"/>
          <w:lang w:val="en-US"/>
        </w:rPr>
        <w:tab/>
      </w:r>
      <w:r w:rsidR="003B499F" w:rsidRPr="003B499F">
        <w:rPr>
          <w:b/>
          <w:bCs/>
          <w:sz w:val="22"/>
          <w:szCs w:val="22"/>
          <w:lang w:val="en-US"/>
        </w:rPr>
        <w:t xml:space="preserve">The supervisor requires the valuation of technical provisions to make appropriate allowance for embedded options and guarantees. </w:t>
      </w:r>
    </w:p>
    <w:p w14:paraId="29D5DA46" w14:textId="77777777" w:rsidR="003B499F" w:rsidRPr="003B499F" w:rsidRDefault="003B499F" w:rsidP="003B499F">
      <w:pPr>
        <w:pStyle w:val="Default"/>
        <w:ind w:left="360"/>
        <w:rPr>
          <w:sz w:val="22"/>
          <w:szCs w:val="22"/>
          <w:lang w:val="en-US"/>
        </w:rPr>
      </w:pPr>
    </w:p>
    <w:p w14:paraId="0D2065B0" w14:textId="77777777" w:rsidR="00BC1E0D" w:rsidRPr="00BC1E0D" w:rsidRDefault="00BC1E0D" w:rsidP="00BC1E0D">
      <w:pPr>
        <w:numPr>
          <w:ilvl w:val="0"/>
          <w:numId w:val="1"/>
        </w:numPr>
        <w:spacing w:after="200" w:line="276" w:lineRule="auto"/>
        <w:contextualSpacing/>
        <w:rPr>
          <w:rFonts w:cs="Arial"/>
          <w:lang w:val="en-US"/>
        </w:rPr>
      </w:pPr>
      <w:r w:rsidRPr="00BC1E0D">
        <w:rPr>
          <w:rFonts w:cs="Arial"/>
          <w:lang w:val="en-US"/>
        </w:rPr>
        <w:t>To what extent are the valuations of technical provisions in YOUR JURISDICTION required to make appropriate allowance for embedded options and guarantees?</w:t>
      </w:r>
    </w:p>
    <w:p w14:paraId="2EE9D593" w14:textId="77777777" w:rsidR="00BC1E0D" w:rsidRPr="00BC1E0D" w:rsidRDefault="00BC1E0D" w:rsidP="00BC1E0D">
      <w:pPr>
        <w:numPr>
          <w:ilvl w:val="1"/>
          <w:numId w:val="1"/>
        </w:numPr>
        <w:spacing w:after="200" w:line="276" w:lineRule="auto"/>
        <w:contextualSpacing/>
        <w:rPr>
          <w:rFonts w:cs="Arial"/>
          <w:lang w:val="en-US"/>
        </w:rPr>
      </w:pPr>
      <w:r w:rsidRPr="00BC1E0D">
        <w:rPr>
          <w:rFonts w:cs="Arial"/>
          <w:lang w:val="en-US"/>
        </w:rPr>
        <w:t>This is explicitly required by legislation.</w:t>
      </w:r>
    </w:p>
    <w:p w14:paraId="5BB32A90" w14:textId="77777777" w:rsidR="00BC1E0D" w:rsidRPr="00BC1E0D" w:rsidRDefault="00BC1E0D" w:rsidP="00BC1E0D">
      <w:pPr>
        <w:numPr>
          <w:ilvl w:val="1"/>
          <w:numId w:val="1"/>
        </w:numPr>
        <w:spacing w:after="200" w:line="276" w:lineRule="auto"/>
        <w:contextualSpacing/>
        <w:rPr>
          <w:rFonts w:cs="Arial"/>
          <w:lang w:val="en-US"/>
        </w:rPr>
      </w:pPr>
      <w:r w:rsidRPr="00BC1E0D">
        <w:rPr>
          <w:rFonts w:cs="Arial"/>
          <w:lang w:val="en-US"/>
        </w:rPr>
        <w:t>This is explicitly required under actuarial or financial reporting standards.</w:t>
      </w:r>
    </w:p>
    <w:p w14:paraId="0374BF11" w14:textId="77777777" w:rsidR="00BC1E0D" w:rsidRPr="00BC1E0D" w:rsidRDefault="00BC1E0D" w:rsidP="00BC1E0D">
      <w:pPr>
        <w:numPr>
          <w:ilvl w:val="1"/>
          <w:numId w:val="1"/>
        </w:numPr>
        <w:spacing w:after="200" w:line="276" w:lineRule="auto"/>
        <w:contextualSpacing/>
        <w:rPr>
          <w:rFonts w:cs="Arial"/>
          <w:lang w:val="en-US"/>
        </w:rPr>
      </w:pPr>
      <w:r w:rsidRPr="00BC1E0D">
        <w:rPr>
          <w:rFonts w:cs="Arial"/>
          <w:lang w:val="en-US"/>
        </w:rPr>
        <w:t>This is broadly required by legislation and further elaborated through supervisory guidelines.</w:t>
      </w:r>
    </w:p>
    <w:p w14:paraId="30D2A01B" w14:textId="77777777" w:rsidR="00BC1E0D" w:rsidRPr="00BC1E0D" w:rsidRDefault="00BC1E0D" w:rsidP="00BC1E0D">
      <w:pPr>
        <w:numPr>
          <w:ilvl w:val="1"/>
          <w:numId w:val="1"/>
        </w:numPr>
        <w:spacing w:after="200" w:line="276" w:lineRule="auto"/>
        <w:contextualSpacing/>
        <w:rPr>
          <w:rFonts w:cs="Arial"/>
          <w:lang w:val="en-US"/>
        </w:rPr>
      </w:pPr>
      <w:r w:rsidRPr="00BC1E0D">
        <w:rPr>
          <w:rFonts w:cs="Arial"/>
          <w:lang w:val="en-US"/>
        </w:rPr>
        <w:t>This is broadly required under actuarial or financial reporting standards and further elaborated through supervisory guidelines.</w:t>
      </w:r>
    </w:p>
    <w:p w14:paraId="1B54F6BD" w14:textId="77777777" w:rsidR="00BC1E0D" w:rsidRPr="00BC1E0D" w:rsidRDefault="00BC1E0D" w:rsidP="00BC1E0D">
      <w:pPr>
        <w:numPr>
          <w:ilvl w:val="1"/>
          <w:numId w:val="1"/>
        </w:numPr>
        <w:spacing w:after="200" w:line="276" w:lineRule="auto"/>
        <w:contextualSpacing/>
        <w:rPr>
          <w:rFonts w:cs="Arial"/>
          <w:lang w:val="en-US"/>
        </w:rPr>
      </w:pPr>
      <w:r w:rsidRPr="00BC1E0D">
        <w:rPr>
          <w:rFonts w:cs="Arial"/>
          <w:lang w:val="en-US"/>
        </w:rPr>
        <w:t>This is not required by legislation or under actuarial or financial reporting standards, but the expectation is communicated through supervisory guidelines.</w:t>
      </w:r>
    </w:p>
    <w:p w14:paraId="258A7CB7" w14:textId="77777777" w:rsidR="00BC1E0D" w:rsidRPr="00BC1E0D" w:rsidRDefault="00BC1E0D" w:rsidP="00BC1E0D">
      <w:pPr>
        <w:numPr>
          <w:ilvl w:val="1"/>
          <w:numId w:val="1"/>
        </w:numPr>
        <w:spacing w:after="200" w:line="276" w:lineRule="auto"/>
        <w:contextualSpacing/>
        <w:rPr>
          <w:rFonts w:cs="Arial"/>
          <w:lang w:val="en-US"/>
        </w:rPr>
      </w:pPr>
      <w:r w:rsidRPr="00BC1E0D">
        <w:rPr>
          <w:rFonts w:cs="Arial"/>
          <w:lang w:val="en-US"/>
        </w:rPr>
        <w:t>Although no such requirement has been published, YOUR AUTHORITY advises insurers when appropriate allowance is not being made.</w:t>
      </w:r>
    </w:p>
    <w:p w14:paraId="4CDF39F8" w14:textId="2D015F4B" w:rsidR="00BC1E0D" w:rsidRDefault="00BC1E0D" w:rsidP="00BC1E0D">
      <w:pPr>
        <w:numPr>
          <w:ilvl w:val="1"/>
          <w:numId w:val="1"/>
        </w:numPr>
        <w:spacing w:after="200" w:line="276" w:lineRule="auto"/>
        <w:contextualSpacing/>
        <w:rPr>
          <w:rFonts w:cs="Arial"/>
          <w:lang w:val="en-US"/>
        </w:rPr>
      </w:pPr>
      <w:r w:rsidRPr="00BC1E0D">
        <w:rPr>
          <w:rFonts w:cs="Arial"/>
          <w:lang w:val="en-US"/>
        </w:rPr>
        <w:t>There is no such requirement and no supervisory expectation has been communicated in YOUR JURISDICTION.</w:t>
      </w:r>
    </w:p>
    <w:p w14:paraId="28B18508" w14:textId="77777777" w:rsidR="00B25AB9" w:rsidRPr="00BC1E0D" w:rsidRDefault="00B25AB9" w:rsidP="00B25AB9">
      <w:pPr>
        <w:spacing w:after="200" w:line="276" w:lineRule="auto"/>
        <w:ind w:left="720"/>
        <w:contextualSpacing/>
        <w:rPr>
          <w:rFonts w:cs="Arial"/>
          <w:lang w:val="en-US"/>
        </w:rPr>
      </w:pPr>
    </w:p>
    <w:p w14:paraId="2ABFAF7E" w14:textId="78C12880" w:rsidR="00BC1E0D" w:rsidRPr="00B25AB9" w:rsidRDefault="00B25AB9" w:rsidP="00BC1E0D">
      <w:pPr>
        <w:rPr>
          <w:rFonts w:cs="Arial"/>
          <w:b/>
          <w:lang w:val="en-US"/>
        </w:rPr>
      </w:pPr>
      <w:r w:rsidRPr="00B25AB9">
        <w:rPr>
          <w:rFonts w:cs="Arial"/>
          <w:b/>
          <w:lang w:val="en-US"/>
        </w:rPr>
        <w:t>1</w:t>
      </w:r>
      <w:r>
        <w:rPr>
          <w:rFonts w:cs="Arial"/>
          <w:b/>
          <w:lang w:val="en-US"/>
        </w:rPr>
        <w:t>4</w:t>
      </w:r>
      <w:r w:rsidRPr="00B25AB9">
        <w:rPr>
          <w:rFonts w:cs="Arial"/>
          <w:b/>
          <w:lang w:val="en-US"/>
        </w:rPr>
        <w:t>.98</w:t>
      </w:r>
      <w:r w:rsidRPr="00B25AB9">
        <w:rPr>
          <w:rFonts w:cs="Arial"/>
          <w:b/>
          <w:lang w:val="en-US"/>
        </w:rPr>
        <w:tab/>
        <w:t>Additional questions part II</w:t>
      </w:r>
    </w:p>
    <w:p w14:paraId="0CFEFB75" w14:textId="77777777" w:rsidR="00B25AB9" w:rsidRPr="00BC1E0D" w:rsidRDefault="00B25AB9" w:rsidP="00BC1E0D">
      <w:pPr>
        <w:rPr>
          <w:rFonts w:cs="Arial"/>
          <w:lang w:val="en-US"/>
        </w:rPr>
      </w:pPr>
    </w:p>
    <w:p w14:paraId="16BC4ACB" w14:textId="77777777" w:rsidR="00BC1E0D" w:rsidRPr="00BC1E0D" w:rsidRDefault="00BC1E0D" w:rsidP="00BC1E0D">
      <w:pPr>
        <w:pStyle w:val="Listenabsatz"/>
        <w:numPr>
          <w:ilvl w:val="0"/>
          <w:numId w:val="1"/>
        </w:numPr>
        <w:rPr>
          <w:rFonts w:ascii="Arial" w:hAnsi="Arial" w:cs="Arial"/>
        </w:rPr>
      </w:pPr>
      <w:r w:rsidRPr="00BC1E0D">
        <w:rPr>
          <w:rFonts w:ascii="Arial" w:hAnsi="Arial" w:cs="Arial"/>
        </w:rPr>
        <w:t>How does YOUR AUTHORITY review an insurer's implementation of and compliance with valuation requirements?</w:t>
      </w:r>
    </w:p>
    <w:p w14:paraId="508E154D" w14:textId="77777777" w:rsidR="00BC1E0D" w:rsidRPr="00BC1E0D" w:rsidRDefault="00BC1E0D" w:rsidP="00BC1E0D">
      <w:pPr>
        <w:pStyle w:val="Listenabsatz"/>
        <w:numPr>
          <w:ilvl w:val="1"/>
          <w:numId w:val="1"/>
        </w:numPr>
        <w:rPr>
          <w:rFonts w:ascii="Arial" w:hAnsi="Arial" w:cs="Arial"/>
        </w:rPr>
      </w:pPr>
      <w:r w:rsidRPr="00BC1E0D">
        <w:rPr>
          <w:rFonts w:ascii="Arial" w:hAnsi="Arial" w:cs="Arial"/>
        </w:rPr>
        <w:t>Reviews are regularly undertaken using off-site monitoring, which is sometimes supplemented by on-site inspection even when there are no supervisory concerns.</w:t>
      </w:r>
    </w:p>
    <w:p w14:paraId="75D416B7" w14:textId="77777777" w:rsidR="00BC1E0D" w:rsidRPr="00BC1E0D" w:rsidRDefault="00BC1E0D" w:rsidP="00BC1E0D">
      <w:pPr>
        <w:pStyle w:val="Listenabsatz"/>
        <w:numPr>
          <w:ilvl w:val="1"/>
          <w:numId w:val="1"/>
        </w:numPr>
        <w:rPr>
          <w:rFonts w:ascii="Arial" w:hAnsi="Arial" w:cs="Arial"/>
        </w:rPr>
      </w:pPr>
      <w:r w:rsidRPr="00BC1E0D">
        <w:rPr>
          <w:rFonts w:ascii="Arial" w:hAnsi="Arial" w:cs="Arial"/>
        </w:rPr>
        <w:t>Reviews are regularly undertaken using off-site monitoring, which is supplemented by on-site inspection in cases of actual or potential supervisory concerns.</w:t>
      </w:r>
    </w:p>
    <w:p w14:paraId="64787253" w14:textId="77777777" w:rsidR="00BC1E0D" w:rsidRPr="00BC1E0D" w:rsidRDefault="00BC1E0D" w:rsidP="00BC1E0D">
      <w:pPr>
        <w:pStyle w:val="Listenabsatz"/>
        <w:numPr>
          <w:ilvl w:val="1"/>
          <w:numId w:val="1"/>
        </w:numPr>
        <w:rPr>
          <w:rFonts w:ascii="Arial" w:hAnsi="Arial" w:cs="Arial"/>
        </w:rPr>
      </w:pPr>
      <w:r w:rsidRPr="00BC1E0D">
        <w:rPr>
          <w:rFonts w:ascii="Arial" w:hAnsi="Arial" w:cs="Arial"/>
        </w:rPr>
        <w:t>Reviews are undertaken only in cases of actual or potential supervisory concerns.</w:t>
      </w:r>
    </w:p>
    <w:p w14:paraId="7BC6C020" w14:textId="77777777" w:rsidR="00BC1E0D" w:rsidRPr="00BC1E0D" w:rsidRDefault="00BC1E0D" w:rsidP="00BC1E0D">
      <w:pPr>
        <w:pStyle w:val="Listenabsatz"/>
        <w:numPr>
          <w:ilvl w:val="1"/>
          <w:numId w:val="1"/>
        </w:numPr>
        <w:rPr>
          <w:rFonts w:ascii="Arial" w:hAnsi="Arial" w:cs="Arial"/>
        </w:rPr>
      </w:pPr>
      <w:r w:rsidRPr="00BC1E0D">
        <w:rPr>
          <w:rFonts w:ascii="Arial" w:hAnsi="Arial" w:cs="Arial"/>
        </w:rPr>
        <w:t>Reviews are seldom undertaken, even in cases of actual supervisory concerns.</w:t>
      </w:r>
    </w:p>
    <w:p w14:paraId="12C593FF" w14:textId="77777777" w:rsidR="00BC1E0D" w:rsidRPr="00BC1E0D" w:rsidRDefault="00BC1E0D" w:rsidP="00BC1E0D">
      <w:pPr>
        <w:pStyle w:val="Listenabsatz"/>
        <w:numPr>
          <w:ilvl w:val="1"/>
          <w:numId w:val="1"/>
        </w:numPr>
        <w:rPr>
          <w:rFonts w:ascii="Arial" w:hAnsi="Arial" w:cs="Arial"/>
        </w:rPr>
      </w:pPr>
      <w:r w:rsidRPr="00BC1E0D">
        <w:rPr>
          <w:rFonts w:ascii="Arial" w:hAnsi="Arial" w:cs="Arial"/>
        </w:rPr>
        <w:t>Reviews are never undertaken.</w:t>
      </w:r>
    </w:p>
    <w:p w14:paraId="40CB6797" w14:textId="77777777" w:rsidR="00BC1E0D" w:rsidRPr="00BC1E0D" w:rsidRDefault="00BC1E0D" w:rsidP="00BC1E0D">
      <w:pPr>
        <w:rPr>
          <w:rFonts w:cs="Arial"/>
        </w:rPr>
      </w:pPr>
    </w:p>
    <w:p w14:paraId="5651F068" w14:textId="77777777" w:rsidR="00BC1E0D" w:rsidRPr="00BC1E0D" w:rsidRDefault="00BC1E0D" w:rsidP="00BC1E0D">
      <w:pPr>
        <w:pStyle w:val="Listenabsatz"/>
        <w:numPr>
          <w:ilvl w:val="0"/>
          <w:numId w:val="1"/>
        </w:numPr>
        <w:rPr>
          <w:rFonts w:ascii="Arial" w:hAnsi="Arial" w:cs="Arial"/>
        </w:rPr>
      </w:pPr>
      <w:r w:rsidRPr="00BC1E0D">
        <w:rPr>
          <w:rFonts w:ascii="Arial" w:hAnsi="Arial" w:cs="Arial"/>
        </w:rPr>
        <w:t>During the last three years, to what extent has YOUR AUTHORITY taken appropriate corrective action when there were supervisory concerns regarding an insurer’s implementation of or compliance with valuation requirements?</w:t>
      </w:r>
    </w:p>
    <w:p w14:paraId="2080BCD8" w14:textId="77777777" w:rsidR="00BC1E0D" w:rsidRPr="00BC1E0D" w:rsidRDefault="00BC1E0D" w:rsidP="00BC1E0D">
      <w:pPr>
        <w:pStyle w:val="Listenabsatz"/>
        <w:numPr>
          <w:ilvl w:val="1"/>
          <w:numId w:val="1"/>
        </w:numPr>
        <w:rPr>
          <w:rFonts w:ascii="Arial" w:hAnsi="Arial" w:cs="Arial"/>
        </w:rPr>
      </w:pPr>
      <w:r w:rsidRPr="00BC1E0D">
        <w:rPr>
          <w:rFonts w:ascii="Arial" w:hAnsi="Arial" w:cs="Arial"/>
        </w:rPr>
        <w:t>Most concerns were resolved in a timely manner.</w:t>
      </w:r>
    </w:p>
    <w:p w14:paraId="05D97600" w14:textId="77777777" w:rsidR="00BC1E0D" w:rsidRPr="00BC1E0D" w:rsidRDefault="00BC1E0D" w:rsidP="00BC1E0D">
      <w:pPr>
        <w:pStyle w:val="Listenabsatz"/>
        <w:numPr>
          <w:ilvl w:val="1"/>
          <w:numId w:val="1"/>
        </w:numPr>
        <w:rPr>
          <w:rFonts w:ascii="Arial" w:hAnsi="Arial" w:cs="Arial"/>
        </w:rPr>
      </w:pPr>
      <w:r w:rsidRPr="00BC1E0D">
        <w:rPr>
          <w:rFonts w:ascii="Arial" w:hAnsi="Arial" w:cs="Arial"/>
        </w:rPr>
        <w:t>Most concerns were resolved, but not always in a timely manner.</w:t>
      </w:r>
    </w:p>
    <w:p w14:paraId="02909514" w14:textId="77777777" w:rsidR="00BC1E0D" w:rsidRPr="00BC1E0D" w:rsidRDefault="00BC1E0D" w:rsidP="00BC1E0D">
      <w:pPr>
        <w:pStyle w:val="Listenabsatz"/>
        <w:numPr>
          <w:ilvl w:val="1"/>
          <w:numId w:val="1"/>
        </w:numPr>
        <w:rPr>
          <w:rFonts w:ascii="Arial" w:hAnsi="Arial" w:cs="Arial"/>
        </w:rPr>
      </w:pPr>
      <w:r w:rsidRPr="00BC1E0D">
        <w:rPr>
          <w:rFonts w:ascii="Arial" w:hAnsi="Arial" w:cs="Arial"/>
        </w:rPr>
        <w:t>Some concerns were resolved.</w:t>
      </w:r>
    </w:p>
    <w:p w14:paraId="7FB3C0C8" w14:textId="77777777" w:rsidR="00BC1E0D" w:rsidRPr="00BC1E0D" w:rsidRDefault="00BC1E0D" w:rsidP="00BC1E0D">
      <w:pPr>
        <w:pStyle w:val="Listenabsatz"/>
        <w:numPr>
          <w:ilvl w:val="1"/>
          <w:numId w:val="1"/>
        </w:numPr>
        <w:rPr>
          <w:rFonts w:ascii="Arial" w:hAnsi="Arial" w:cs="Arial"/>
        </w:rPr>
      </w:pPr>
      <w:r w:rsidRPr="00BC1E0D">
        <w:rPr>
          <w:rFonts w:ascii="Arial" w:hAnsi="Arial" w:cs="Arial"/>
        </w:rPr>
        <w:t>Most concerns were not resolved.</w:t>
      </w:r>
    </w:p>
    <w:p w14:paraId="2DF7B26B" w14:textId="77777777" w:rsidR="00BC1E0D" w:rsidRPr="00BC1E0D" w:rsidRDefault="00BC1E0D" w:rsidP="00BC1E0D">
      <w:pPr>
        <w:pStyle w:val="Listenabsatz"/>
        <w:numPr>
          <w:ilvl w:val="1"/>
          <w:numId w:val="1"/>
        </w:numPr>
        <w:rPr>
          <w:rFonts w:ascii="Arial" w:hAnsi="Arial" w:cs="Arial"/>
        </w:rPr>
      </w:pPr>
      <w:r w:rsidRPr="00BC1E0D">
        <w:rPr>
          <w:rFonts w:ascii="Arial" w:hAnsi="Arial" w:cs="Arial"/>
        </w:rPr>
        <w:t>This question is not applicable, because no such concerns arose during the last three years.</w:t>
      </w:r>
    </w:p>
    <w:p w14:paraId="128483B9" w14:textId="253BBB0D" w:rsidR="00BC1E0D" w:rsidRPr="00B25AB9" w:rsidRDefault="00B25AB9" w:rsidP="00BC1E0D">
      <w:pPr>
        <w:rPr>
          <w:rFonts w:cs="Arial"/>
          <w:b/>
          <w:lang w:val="en-US"/>
        </w:rPr>
      </w:pPr>
      <w:r w:rsidRPr="00B25AB9">
        <w:rPr>
          <w:rFonts w:cs="Arial"/>
          <w:b/>
          <w:lang w:val="en-US"/>
        </w:rPr>
        <w:t>1</w:t>
      </w:r>
      <w:r>
        <w:rPr>
          <w:rFonts w:cs="Arial"/>
          <w:b/>
          <w:lang w:val="en-US"/>
        </w:rPr>
        <w:t>4</w:t>
      </w:r>
      <w:r w:rsidRPr="00B25AB9">
        <w:rPr>
          <w:rFonts w:cs="Arial"/>
          <w:b/>
          <w:lang w:val="en-US"/>
        </w:rPr>
        <w:t>.99</w:t>
      </w:r>
      <w:r w:rsidRPr="00B25AB9">
        <w:rPr>
          <w:rFonts w:cs="Arial"/>
          <w:b/>
          <w:lang w:val="en-US"/>
        </w:rPr>
        <w:tab/>
        <w:t>Additional questions part III</w:t>
      </w:r>
    </w:p>
    <w:p w14:paraId="1A41C0D6" w14:textId="77777777" w:rsidR="00B25AB9" w:rsidRPr="00BC1E0D" w:rsidRDefault="00B25AB9" w:rsidP="00BC1E0D">
      <w:pPr>
        <w:rPr>
          <w:rFonts w:cs="Arial"/>
          <w:lang w:val="en-US"/>
        </w:rPr>
      </w:pPr>
    </w:p>
    <w:p w14:paraId="00BE0350" w14:textId="77777777" w:rsidR="00BC1E0D" w:rsidRPr="00BC1E0D" w:rsidRDefault="00BC1E0D" w:rsidP="00BC1E0D">
      <w:pPr>
        <w:numPr>
          <w:ilvl w:val="0"/>
          <w:numId w:val="1"/>
        </w:numPr>
        <w:spacing w:after="200" w:line="276" w:lineRule="auto"/>
        <w:contextualSpacing/>
        <w:rPr>
          <w:rFonts w:cs="Arial"/>
          <w:lang w:val="en-US"/>
        </w:rPr>
      </w:pPr>
      <w:r w:rsidRPr="00BC1E0D">
        <w:rPr>
          <w:rFonts w:cs="Arial"/>
          <w:lang w:val="en-US"/>
        </w:rPr>
        <w:t>To what extent do the valuation requirements in YOUR JURISDICTION address insurance groups?</w:t>
      </w:r>
    </w:p>
    <w:p w14:paraId="1491C2E5" w14:textId="77777777" w:rsidR="00BC1E0D" w:rsidRPr="00BC1E0D" w:rsidRDefault="00BC1E0D" w:rsidP="00BC1E0D">
      <w:pPr>
        <w:numPr>
          <w:ilvl w:val="1"/>
          <w:numId w:val="1"/>
        </w:numPr>
        <w:spacing w:after="200" w:line="276" w:lineRule="auto"/>
        <w:contextualSpacing/>
        <w:rPr>
          <w:rFonts w:cs="Arial"/>
          <w:lang w:val="en-US"/>
        </w:rPr>
      </w:pPr>
      <w:r w:rsidRPr="00BC1E0D">
        <w:rPr>
          <w:rFonts w:cs="Arial"/>
          <w:lang w:val="en-US"/>
        </w:rPr>
        <w:t>Valuation requirements exist at both the group level and the legal entity level, and the relationship between them has been clearly defined.</w:t>
      </w:r>
    </w:p>
    <w:p w14:paraId="36EE92D3" w14:textId="77777777" w:rsidR="00BC1E0D" w:rsidRPr="00BC1E0D" w:rsidRDefault="00BC1E0D" w:rsidP="00BC1E0D">
      <w:pPr>
        <w:numPr>
          <w:ilvl w:val="1"/>
          <w:numId w:val="1"/>
        </w:numPr>
        <w:spacing w:after="200" w:line="276" w:lineRule="auto"/>
        <w:contextualSpacing/>
        <w:rPr>
          <w:rFonts w:cs="Arial"/>
          <w:lang w:val="en-US"/>
        </w:rPr>
      </w:pPr>
      <w:r w:rsidRPr="00BC1E0D">
        <w:rPr>
          <w:rFonts w:cs="Arial"/>
          <w:lang w:val="en-US"/>
        </w:rPr>
        <w:t>Valuation requirements exist at both the group level and the legal entity level, but the relationship between them has not been clearly defined.</w:t>
      </w:r>
    </w:p>
    <w:p w14:paraId="79838081" w14:textId="77777777" w:rsidR="00BC1E0D" w:rsidRPr="00BC1E0D" w:rsidRDefault="00BC1E0D" w:rsidP="00BC1E0D">
      <w:pPr>
        <w:numPr>
          <w:ilvl w:val="1"/>
          <w:numId w:val="1"/>
        </w:numPr>
        <w:spacing w:after="200" w:line="276" w:lineRule="auto"/>
        <w:contextualSpacing/>
        <w:rPr>
          <w:rFonts w:cs="Arial"/>
          <w:lang w:val="en-US"/>
        </w:rPr>
      </w:pPr>
      <w:r w:rsidRPr="00BC1E0D">
        <w:rPr>
          <w:rFonts w:cs="Arial"/>
          <w:lang w:val="en-US"/>
        </w:rPr>
        <w:t>Valuation requirements do not exist at the group level, but those at the legal entity level explicitly take account of an insurer’s membership of a group.</w:t>
      </w:r>
    </w:p>
    <w:p w14:paraId="44E5C0E9" w14:textId="77777777" w:rsidR="00BC1E0D" w:rsidRPr="00BC1E0D" w:rsidRDefault="00BC1E0D" w:rsidP="00BC1E0D">
      <w:pPr>
        <w:numPr>
          <w:ilvl w:val="1"/>
          <w:numId w:val="1"/>
        </w:numPr>
        <w:spacing w:after="200" w:line="276" w:lineRule="auto"/>
        <w:contextualSpacing/>
        <w:rPr>
          <w:rFonts w:cs="Arial"/>
          <w:lang w:val="en-US"/>
        </w:rPr>
      </w:pPr>
      <w:r w:rsidRPr="00BC1E0D">
        <w:rPr>
          <w:rFonts w:cs="Arial"/>
          <w:lang w:val="en-US"/>
        </w:rPr>
        <w:t>Valuation requirements do not exist at the group level, but those at the legal entity level broadly take account of an insurer’s membership of a group.</w:t>
      </w:r>
    </w:p>
    <w:p w14:paraId="3D2681C9" w14:textId="77777777" w:rsidR="00BC1E0D" w:rsidRPr="00BC1E0D" w:rsidRDefault="00BC1E0D" w:rsidP="00BC1E0D">
      <w:pPr>
        <w:numPr>
          <w:ilvl w:val="1"/>
          <w:numId w:val="1"/>
        </w:numPr>
        <w:spacing w:after="200" w:line="276" w:lineRule="auto"/>
        <w:contextualSpacing/>
        <w:rPr>
          <w:rFonts w:cs="Arial"/>
          <w:lang w:val="en-US"/>
        </w:rPr>
      </w:pPr>
      <w:r w:rsidRPr="00BC1E0D">
        <w:rPr>
          <w:rFonts w:cs="Arial"/>
          <w:lang w:val="en-US"/>
        </w:rPr>
        <w:t>Valuation requirements do not exist at the group level, and those at the legal entity level do not take account of an insurer’s membership of a group.</w:t>
      </w:r>
    </w:p>
    <w:p w14:paraId="094DDF61" w14:textId="77777777" w:rsidR="00BC1E0D" w:rsidRPr="00BC1E0D" w:rsidRDefault="00BC1E0D" w:rsidP="00BC1E0D">
      <w:pPr>
        <w:numPr>
          <w:ilvl w:val="1"/>
          <w:numId w:val="1"/>
        </w:numPr>
        <w:spacing w:after="200" w:line="276" w:lineRule="auto"/>
        <w:contextualSpacing/>
        <w:rPr>
          <w:rFonts w:cs="Arial"/>
          <w:lang w:val="en-US"/>
        </w:rPr>
      </w:pPr>
      <w:r w:rsidRPr="00BC1E0D">
        <w:rPr>
          <w:rFonts w:cs="Arial"/>
          <w:lang w:val="en-US"/>
        </w:rPr>
        <w:t>There are no valuation requirements in YOUR JURISDICTION.</w:t>
      </w:r>
    </w:p>
    <w:p w14:paraId="0B7F3A2C" w14:textId="77777777" w:rsidR="00BC1E0D" w:rsidRPr="00BC1E0D" w:rsidRDefault="00BC1E0D" w:rsidP="00BC1E0D">
      <w:pPr>
        <w:numPr>
          <w:ilvl w:val="1"/>
          <w:numId w:val="1"/>
        </w:numPr>
        <w:spacing w:after="200" w:line="276" w:lineRule="auto"/>
        <w:contextualSpacing/>
        <w:rPr>
          <w:rFonts w:cs="Arial"/>
          <w:lang w:val="en-US"/>
        </w:rPr>
      </w:pPr>
      <w:r w:rsidRPr="00BC1E0D">
        <w:rPr>
          <w:rFonts w:cs="Arial"/>
          <w:lang w:val="en-US"/>
        </w:rPr>
        <w:t>This question is not applicable, because there are no groups in YOUR JURISDICTION.</w:t>
      </w:r>
    </w:p>
    <w:p w14:paraId="45807B14" w14:textId="77777777" w:rsidR="00494EBA" w:rsidRPr="00BC1E0D" w:rsidRDefault="00494EBA" w:rsidP="00396C15">
      <w:pPr>
        <w:rPr>
          <w:rFonts w:cs="Arial"/>
          <w:i/>
          <w:lang w:val="en-US"/>
        </w:rPr>
      </w:pPr>
    </w:p>
    <w:p w14:paraId="5743DAA6" w14:textId="3EEDD7E6" w:rsidR="00396C15" w:rsidRPr="00BC1E0D" w:rsidRDefault="00396C15" w:rsidP="00396C15">
      <w:pPr>
        <w:rPr>
          <w:rFonts w:cs="Arial"/>
          <w:lang w:val="en-GB"/>
        </w:rPr>
      </w:pPr>
      <w:r w:rsidRPr="00BC1E0D">
        <w:rPr>
          <w:rFonts w:cs="Arial"/>
          <w:i/>
          <w:lang w:val="en-US"/>
        </w:rPr>
        <w:t>Material provided by the International Association of Insurance Supervisors (IAIS) is reproduced with the kind permission of the IAIS. © International Association of Insurance Supervisors. All rights reserved. Reproduction or translation of this material in unaltered form is authorised provided that: it is not used for private or commercial gain, the IAIS is cited as the source and  the copyright holder and any translation into another language than English (the official language for IAIS documents) contains a prominent disclaimer that it is not an official IAIS translation.</w:t>
      </w:r>
    </w:p>
    <w:sectPr w:rsidR="00396C15" w:rsidRPr="00BC1E0D" w:rsidSect="00E0714A">
      <w:headerReference w:type="default" r:id="rId11"/>
      <w:footerReference w:type="default" r:id="rId12"/>
      <w:pgSz w:w="11906" w:h="16838" w:code="9"/>
      <w:pgMar w:top="1418" w:right="1418" w:bottom="1276" w:left="1418"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40B48" w14:textId="77777777" w:rsidR="00920AB8" w:rsidRDefault="00920AB8" w:rsidP="00E0714A">
      <w:r>
        <w:separator/>
      </w:r>
    </w:p>
  </w:endnote>
  <w:endnote w:type="continuationSeparator" w:id="0">
    <w:p w14:paraId="287F1A59" w14:textId="77777777" w:rsidR="00920AB8" w:rsidRDefault="00920AB8" w:rsidP="00E0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0706371"/>
      <w:docPartObj>
        <w:docPartGallery w:val="Page Numbers (Bottom of Page)"/>
        <w:docPartUnique/>
      </w:docPartObj>
    </w:sdtPr>
    <w:sdtEndPr/>
    <w:sdtContent>
      <w:p w14:paraId="2BF57B05" w14:textId="73B2B1DB" w:rsidR="0055265D" w:rsidRDefault="0055265D">
        <w:pPr>
          <w:pStyle w:val="Fuzeile"/>
          <w:jc w:val="right"/>
        </w:pPr>
        <w:r>
          <w:fldChar w:fldCharType="begin"/>
        </w:r>
        <w:r>
          <w:instrText>PAGE   \* MERGEFORMAT</w:instrText>
        </w:r>
        <w:r>
          <w:fldChar w:fldCharType="separate"/>
        </w:r>
        <w:r w:rsidR="00BC1E0D">
          <w:rPr>
            <w:noProof/>
          </w:rPr>
          <w:t>9</w:t>
        </w:r>
        <w:r>
          <w:fldChar w:fldCharType="end"/>
        </w:r>
      </w:p>
    </w:sdtContent>
  </w:sdt>
  <w:p w14:paraId="037D26A4" w14:textId="77777777" w:rsidR="0055265D" w:rsidRDefault="0055265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770DB" w14:textId="77777777" w:rsidR="00920AB8" w:rsidRDefault="00920AB8" w:rsidP="00E0714A">
      <w:r>
        <w:separator/>
      </w:r>
    </w:p>
  </w:footnote>
  <w:footnote w:type="continuationSeparator" w:id="0">
    <w:p w14:paraId="0BBB0576" w14:textId="77777777" w:rsidR="00920AB8" w:rsidRDefault="00920AB8" w:rsidP="00E07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0A0" w:firstRow="1" w:lastRow="0" w:firstColumn="1" w:lastColumn="0" w:noHBand="0" w:noVBand="0"/>
    </w:tblPr>
    <w:tblGrid>
      <w:gridCol w:w="6344"/>
      <w:gridCol w:w="2726"/>
    </w:tblGrid>
    <w:tr w:rsidR="00703906" w:rsidRPr="00703906" w14:paraId="7051A792" w14:textId="77777777" w:rsidTr="000D6C89">
      <w:tc>
        <w:tcPr>
          <w:tcW w:w="3497" w:type="pct"/>
        </w:tcPr>
        <w:p w14:paraId="77DFB3EA" w14:textId="77777777" w:rsidR="00703906" w:rsidRPr="00703906" w:rsidRDefault="00703906" w:rsidP="00703906">
          <w:pPr>
            <w:tabs>
              <w:tab w:val="right" w:pos="9356"/>
            </w:tabs>
            <w:spacing w:before="660"/>
            <w:rPr>
              <w:rFonts w:eastAsia="Times New Roman" w:cs="Times New Roman"/>
              <w:lang w:eastAsia="de-DE"/>
            </w:rPr>
          </w:pPr>
        </w:p>
      </w:tc>
      <w:tc>
        <w:tcPr>
          <w:tcW w:w="1503" w:type="pct"/>
        </w:tcPr>
        <w:p w14:paraId="5C06149D" w14:textId="77777777" w:rsidR="00703906" w:rsidRPr="00703906" w:rsidRDefault="00703906" w:rsidP="00703906">
          <w:pPr>
            <w:tabs>
              <w:tab w:val="right" w:pos="9356"/>
            </w:tabs>
            <w:ind w:right="-227"/>
            <w:jc w:val="right"/>
            <w:rPr>
              <w:rFonts w:eastAsia="Times New Roman" w:cs="Times New Roman"/>
              <w:sz w:val="20"/>
              <w:szCs w:val="20"/>
              <w:lang w:eastAsia="de-DE"/>
            </w:rPr>
          </w:pPr>
        </w:p>
      </w:tc>
    </w:tr>
  </w:tbl>
  <w:p w14:paraId="07967265" w14:textId="77777777" w:rsidR="00703906" w:rsidRPr="00703906" w:rsidRDefault="00703906">
    <w:pP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D67B4"/>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E6B4065"/>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04C7459"/>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7A30F4B"/>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A893500"/>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AD21CE7"/>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B92726A"/>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DEA5052"/>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F8F6464"/>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F16924"/>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2A852BF"/>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86"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4AD3F46"/>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5AF52F1"/>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AF47FC4"/>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B2F7021"/>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DE7354A"/>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01C6CA0"/>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0766B0D"/>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15B21CA"/>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3557D19"/>
    <w:multiLevelType w:val="multilevel"/>
    <w:tmpl w:val="EDDEE342"/>
    <w:lvl w:ilvl="0">
      <w:start w:val="1"/>
      <w:numFmt w:val="decimal"/>
      <w:lvlText w:val="%1.0"/>
      <w:lvlJc w:val="left"/>
      <w:pPr>
        <w:ind w:left="705" w:hanging="705"/>
      </w:pPr>
      <w:rPr>
        <w:rFonts w:ascii="Arial" w:hAnsi="Arial" w:cs="Arial" w:hint="default"/>
        <w:b/>
      </w:rPr>
    </w:lvl>
    <w:lvl w:ilvl="1">
      <w:start w:val="1"/>
      <w:numFmt w:val="decimal"/>
      <w:lvlText w:val="%1.%2"/>
      <w:lvlJc w:val="left"/>
      <w:pPr>
        <w:ind w:left="1413" w:hanging="7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15:restartNumberingAfterBreak="0">
    <w:nsid w:val="34636EF5"/>
    <w:multiLevelType w:val="multilevel"/>
    <w:tmpl w:val="18C0E72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8623539"/>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888700B"/>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8E72E44"/>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0DA261C"/>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1DE1AD6"/>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96D1C5E"/>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C534238"/>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DA325A9"/>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F483B6D"/>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0910C1A"/>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48A0109"/>
    <w:multiLevelType w:val="multilevel"/>
    <w:tmpl w:val="B292059E"/>
    <w:lvl w:ilvl="0">
      <w:start w:val="14"/>
      <w:numFmt w:val="decimal"/>
      <w:lvlText w:val="%1.0"/>
      <w:lvlJc w:val="left"/>
      <w:pPr>
        <w:ind w:left="420" w:hanging="420"/>
      </w:pPr>
      <w:rPr>
        <w:rFonts w:hint="default"/>
        <w:b/>
      </w:rPr>
    </w:lvl>
    <w:lvl w:ilvl="1">
      <w:start w:val="1"/>
      <w:numFmt w:val="decimal"/>
      <w:lvlText w:val="%1.%2"/>
      <w:lvlJc w:val="left"/>
      <w:pPr>
        <w:ind w:left="1128" w:hanging="42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32" w15:restartNumberingAfterBreak="0">
    <w:nsid w:val="56663CAF"/>
    <w:multiLevelType w:val="multilevel"/>
    <w:tmpl w:val="8F4E2A86"/>
    <w:lvl w:ilvl="0">
      <w:start w:val="1"/>
      <w:numFmt w:val="decimal"/>
      <w:lvlText w:val="%1."/>
      <w:lvlJc w:val="left"/>
      <w:pPr>
        <w:ind w:left="360" w:hanging="360"/>
      </w:pPr>
      <w:rPr>
        <w:rFonts w:ascii="Arial" w:hAnsi="Arial" w:cs="Arial" w:hint="default"/>
        <w:b w:val="0"/>
        <w:color w:val="000000" w:themeColor="text1"/>
        <w:sz w:val="22"/>
        <w:szCs w:val="22"/>
      </w:rPr>
    </w:lvl>
    <w:lvl w:ilvl="1">
      <w:start w:val="1"/>
      <w:numFmt w:val="upperLetter"/>
      <w:lvlText w:val="%2."/>
      <w:lvlJc w:val="left"/>
      <w:pPr>
        <w:ind w:left="720" w:hanging="360"/>
      </w:pPr>
      <w:rPr>
        <w:rFonts w:ascii="Arial" w:eastAsiaTheme="minorHAnsi" w:hAnsi="Arial" w:cs="Arial"/>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6A965A6"/>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8933E90"/>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8DD6F6B"/>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95A2A20"/>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B38306A"/>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E7C10E8"/>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F260869"/>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2D24C19"/>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2DC6918"/>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65C61A87"/>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65CA3089"/>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66C67610"/>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66DB3020"/>
    <w:multiLevelType w:val="hybridMultilevel"/>
    <w:tmpl w:val="1D768862"/>
    <w:lvl w:ilvl="0" w:tplc="496AF602">
      <w:start w:val="5"/>
      <w:numFmt w:val="bullet"/>
      <w:lvlText w:val=""/>
      <w:lvlJc w:val="left"/>
      <w:pPr>
        <w:ind w:left="360" w:hanging="360"/>
      </w:pPr>
      <w:rPr>
        <w:rFonts w:ascii="Symbol" w:eastAsia="PMingLiU"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6" w15:restartNumberingAfterBreak="0">
    <w:nsid w:val="685E3006"/>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695C3219"/>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6F5B4904"/>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76904CFF"/>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77107C94"/>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7ACC45DB"/>
    <w:multiLevelType w:val="hybridMultilevel"/>
    <w:tmpl w:val="4408595A"/>
    <w:lvl w:ilvl="0" w:tplc="496AF602">
      <w:start w:val="5"/>
      <w:numFmt w:val="bullet"/>
      <w:lvlText w:val=""/>
      <w:lvlJc w:val="left"/>
      <w:pPr>
        <w:ind w:left="360" w:hanging="360"/>
      </w:pPr>
      <w:rPr>
        <w:rFonts w:ascii="Symbol" w:eastAsia="PMingLiU"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2" w15:restartNumberingAfterBreak="0">
    <w:nsid w:val="7B542906"/>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7BCC0FDD"/>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7C1E5A6E"/>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EB67208"/>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7F2A4264"/>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2"/>
  </w:num>
  <w:num w:numId="2">
    <w:abstractNumId w:val="53"/>
  </w:num>
  <w:num w:numId="3">
    <w:abstractNumId w:val="21"/>
  </w:num>
  <w:num w:numId="4">
    <w:abstractNumId w:val="8"/>
  </w:num>
  <w:num w:numId="5">
    <w:abstractNumId w:val="30"/>
  </w:num>
  <w:num w:numId="6">
    <w:abstractNumId w:val="43"/>
  </w:num>
  <w:num w:numId="7">
    <w:abstractNumId w:val="15"/>
  </w:num>
  <w:num w:numId="8">
    <w:abstractNumId w:val="1"/>
  </w:num>
  <w:num w:numId="9">
    <w:abstractNumId w:val="6"/>
  </w:num>
  <w:num w:numId="10">
    <w:abstractNumId w:val="54"/>
  </w:num>
  <w:num w:numId="11">
    <w:abstractNumId w:val="50"/>
  </w:num>
  <w:num w:numId="12">
    <w:abstractNumId w:val="49"/>
  </w:num>
  <w:num w:numId="13">
    <w:abstractNumId w:val="17"/>
  </w:num>
  <w:num w:numId="14">
    <w:abstractNumId w:val="33"/>
  </w:num>
  <w:num w:numId="15">
    <w:abstractNumId w:val="10"/>
  </w:num>
  <w:num w:numId="16">
    <w:abstractNumId w:val="35"/>
  </w:num>
  <w:num w:numId="17">
    <w:abstractNumId w:val="40"/>
  </w:num>
  <w:num w:numId="18">
    <w:abstractNumId w:val="28"/>
  </w:num>
  <w:num w:numId="19">
    <w:abstractNumId w:val="5"/>
  </w:num>
  <w:num w:numId="20">
    <w:abstractNumId w:val="29"/>
  </w:num>
  <w:num w:numId="21">
    <w:abstractNumId w:val="4"/>
  </w:num>
  <w:num w:numId="22">
    <w:abstractNumId w:val="11"/>
  </w:num>
  <w:num w:numId="23">
    <w:abstractNumId w:val="37"/>
  </w:num>
  <w:num w:numId="24">
    <w:abstractNumId w:val="39"/>
  </w:num>
  <w:num w:numId="25">
    <w:abstractNumId w:val="26"/>
  </w:num>
  <w:num w:numId="26">
    <w:abstractNumId w:val="9"/>
  </w:num>
  <w:num w:numId="27">
    <w:abstractNumId w:val="44"/>
  </w:num>
  <w:num w:numId="28">
    <w:abstractNumId w:val="12"/>
  </w:num>
  <w:num w:numId="29">
    <w:abstractNumId w:val="18"/>
  </w:num>
  <w:num w:numId="30">
    <w:abstractNumId w:val="52"/>
  </w:num>
  <w:num w:numId="31">
    <w:abstractNumId w:val="48"/>
  </w:num>
  <w:num w:numId="32">
    <w:abstractNumId w:val="22"/>
  </w:num>
  <w:num w:numId="33">
    <w:abstractNumId w:val="36"/>
  </w:num>
  <w:num w:numId="34">
    <w:abstractNumId w:val="16"/>
  </w:num>
  <w:num w:numId="35">
    <w:abstractNumId w:val="7"/>
  </w:num>
  <w:num w:numId="36">
    <w:abstractNumId w:val="2"/>
  </w:num>
  <w:num w:numId="37">
    <w:abstractNumId w:val="24"/>
  </w:num>
  <w:num w:numId="38">
    <w:abstractNumId w:val="47"/>
  </w:num>
  <w:num w:numId="39">
    <w:abstractNumId w:val="56"/>
  </w:num>
  <w:num w:numId="40">
    <w:abstractNumId w:val="23"/>
  </w:num>
  <w:num w:numId="41">
    <w:abstractNumId w:val="3"/>
  </w:num>
  <w:num w:numId="42">
    <w:abstractNumId w:val="27"/>
  </w:num>
  <w:num w:numId="43">
    <w:abstractNumId w:val="13"/>
  </w:num>
  <w:num w:numId="44">
    <w:abstractNumId w:val="25"/>
  </w:num>
  <w:num w:numId="45">
    <w:abstractNumId w:val="46"/>
  </w:num>
  <w:num w:numId="46">
    <w:abstractNumId w:val="42"/>
  </w:num>
  <w:num w:numId="47">
    <w:abstractNumId w:val="14"/>
  </w:num>
  <w:num w:numId="48">
    <w:abstractNumId w:val="0"/>
  </w:num>
  <w:num w:numId="49">
    <w:abstractNumId w:val="38"/>
  </w:num>
  <w:num w:numId="50">
    <w:abstractNumId w:val="41"/>
  </w:num>
  <w:num w:numId="51">
    <w:abstractNumId w:val="55"/>
  </w:num>
  <w:num w:numId="52">
    <w:abstractNumId w:val="34"/>
  </w:num>
  <w:num w:numId="53">
    <w:abstractNumId w:val="20"/>
  </w:num>
  <w:num w:numId="54">
    <w:abstractNumId w:val="45"/>
  </w:num>
  <w:num w:numId="55">
    <w:abstractNumId w:val="51"/>
  </w:num>
  <w:num w:numId="56">
    <w:abstractNumId w:val="19"/>
  </w:num>
  <w:num w:numId="57">
    <w:abstractNumId w:val="3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C96"/>
    <w:rsid w:val="000020D3"/>
    <w:rsid w:val="000345DC"/>
    <w:rsid w:val="000B51C1"/>
    <w:rsid w:val="001A3C97"/>
    <w:rsid w:val="00227BCC"/>
    <w:rsid w:val="002D60AD"/>
    <w:rsid w:val="002F5C68"/>
    <w:rsid w:val="00396C15"/>
    <w:rsid w:val="003A4704"/>
    <w:rsid w:val="003B306D"/>
    <w:rsid w:val="003B499F"/>
    <w:rsid w:val="003E29DA"/>
    <w:rsid w:val="003E5CAF"/>
    <w:rsid w:val="003E7EEE"/>
    <w:rsid w:val="004407FD"/>
    <w:rsid w:val="0046068E"/>
    <w:rsid w:val="00494EBA"/>
    <w:rsid w:val="0055265D"/>
    <w:rsid w:val="00642919"/>
    <w:rsid w:val="00676462"/>
    <w:rsid w:val="00681AE3"/>
    <w:rsid w:val="00703906"/>
    <w:rsid w:val="00777255"/>
    <w:rsid w:val="007B230E"/>
    <w:rsid w:val="007F7B2A"/>
    <w:rsid w:val="0080748B"/>
    <w:rsid w:val="008237D6"/>
    <w:rsid w:val="00920AB8"/>
    <w:rsid w:val="009A7B0C"/>
    <w:rsid w:val="00B25AB9"/>
    <w:rsid w:val="00BC1E0D"/>
    <w:rsid w:val="00D20246"/>
    <w:rsid w:val="00E0714A"/>
    <w:rsid w:val="00E55064"/>
    <w:rsid w:val="00E764EC"/>
    <w:rsid w:val="00EE2508"/>
    <w:rsid w:val="00F30AA3"/>
    <w:rsid w:val="00F30C96"/>
    <w:rsid w:val="00F45B01"/>
    <w:rsid w:val="00FC063B"/>
    <w:rsid w:val="00FC30A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67DF30B"/>
  <w15:chartTrackingRefBased/>
  <w15:docId w15:val="{8F8926AE-4A72-441E-9593-7D2AE4276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237D6"/>
    <w:pPr>
      <w:spacing w:after="0" w:line="240" w:lineRule="auto"/>
    </w:pPr>
    <w:rPr>
      <w:rFonts w:ascii="Arial" w:hAnsi="Arial"/>
      <w:lang w:eastAsia="en-US"/>
    </w:rPr>
  </w:style>
  <w:style w:type="paragraph" w:styleId="berschrift1">
    <w:name w:val="heading 1"/>
    <w:aliases w:val="1. Überschrift"/>
    <w:basedOn w:val="Standard"/>
    <w:next w:val="Standard"/>
    <w:link w:val="berschrift1Zchn"/>
    <w:uiPriority w:val="9"/>
    <w:qFormat/>
    <w:rsid w:val="00676462"/>
    <w:pPr>
      <w:keepNext/>
      <w:keepLines/>
      <w:spacing w:before="480"/>
      <w:outlineLvl w:val="0"/>
    </w:pPr>
    <w:rPr>
      <w:rFonts w:eastAsiaTheme="majorEastAsia" w:cstheme="majorBidi"/>
      <w:b/>
      <w:bCs/>
      <w:sz w:val="28"/>
      <w:szCs w:val="28"/>
    </w:rPr>
  </w:style>
  <w:style w:type="paragraph" w:styleId="berschrift2">
    <w:name w:val="heading 2"/>
    <w:aliases w:val="2. Überschrift"/>
    <w:basedOn w:val="Standard"/>
    <w:next w:val="Standard"/>
    <w:link w:val="berschrift2Zchn"/>
    <w:uiPriority w:val="1"/>
    <w:unhideWhenUsed/>
    <w:qFormat/>
    <w:rsid w:val="00676462"/>
    <w:pPr>
      <w:keepNext/>
      <w:keepLines/>
      <w:spacing w:before="240"/>
      <w:outlineLvl w:val="1"/>
    </w:pPr>
    <w:rPr>
      <w:rFonts w:eastAsiaTheme="majorEastAsia" w:cstheme="majorBidi"/>
      <w:b/>
      <w:bCs/>
      <w:sz w:val="24"/>
      <w:szCs w:val="26"/>
    </w:rPr>
  </w:style>
  <w:style w:type="paragraph" w:styleId="berschrift3">
    <w:name w:val="heading 3"/>
    <w:aliases w:val="3. Überschrift"/>
    <w:basedOn w:val="Standard"/>
    <w:next w:val="Standard"/>
    <w:link w:val="berschrift3Zchn"/>
    <w:uiPriority w:val="1"/>
    <w:unhideWhenUsed/>
    <w:qFormat/>
    <w:rsid w:val="00676462"/>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unhideWhenUsed/>
    <w:rsid w:val="008237D6"/>
    <w:pPr>
      <w:keepNext/>
      <w:keepLines/>
      <w:spacing w:before="240"/>
      <w:outlineLvl w:val="3"/>
    </w:pPr>
    <w:rPr>
      <w:rFonts w:eastAsiaTheme="majorEastAsia" w:cstheme="majorBidi"/>
      <w:bCs/>
      <w:iCs/>
    </w:rPr>
  </w:style>
  <w:style w:type="paragraph" w:styleId="berschrift5">
    <w:name w:val="heading 5"/>
    <w:basedOn w:val="Standard"/>
    <w:next w:val="Standard"/>
    <w:link w:val="berschrift5Zchn"/>
    <w:uiPriority w:val="9"/>
    <w:semiHidden/>
    <w:unhideWhenUsed/>
    <w:qFormat/>
    <w:rsid w:val="008237D6"/>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uiPriority w:val="2"/>
    <w:qFormat/>
    <w:rsid w:val="00676462"/>
    <w:pPr>
      <w:tabs>
        <w:tab w:val="left" w:pos="567"/>
      </w:tabs>
      <w:ind w:left="567" w:hanging="567"/>
    </w:pPr>
  </w:style>
  <w:style w:type="paragraph" w:customStyle="1" w:styleId="2Einrckung">
    <w:name w:val="2. Einrückung"/>
    <w:basedOn w:val="Standard"/>
    <w:uiPriority w:val="2"/>
    <w:qFormat/>
    <w:rsid w:val="00676462"/>
    <w:pPr>
      <w:tabs>
        <w:tab w:val="left" w:pos="567"/>
        <w:tab w:val="left" w:pos="1134"/>
      </w:tabs>
      <w:ind w:left="1134" w:hanging="567"/>
    </w:pPr>
  </w:style>
  <w:style w:type="paragraph" w:customStyle="1" w:styleId="3Einrckung">
    <w:name w:val="3. Einrückung"/>
    <w:basedOn w:val="Standard"/>
    <w:uiPriority w:val="2"/>
    <w:qFormat/>
    <w:rsid w:val="00676462"/>
    <w:pPr>
      <w:tabs>
        <w:tab w:val="left" w:pos="567"/>
        <w:tab w:val="left" w:pos="1134"/>
        <w:tab w:val="left" w:pos="1701"/>
      </w:tabs>
      <w:ind w:left="1701" w:hanging="567"/>
    </w:pPr>
  </w:style>
  <w:style w:type="paragraph" w:styleId="Fuzeile">
    <w:name w:val="footer"/>
    <w:basedOn w:val="Standard"/>
    <w:link w:val="FuzeileZchn"/>
    <w:uiPriority w:val="99"/>
    <w:unhideWhenUsed/>
    <w:rsid w:val="00676462"/>
    <w:pPr>
      <w:tabs>
        <w:tab w:val="center" w:pos="4536"/>
        <w:tab w:val="right" w:pos="9072"/>
      </w:tabs>
    </w:pPr>
  </w:style>
  <w:style w:type="character" w:customStyle="1" w:styleId="FuzeileZchn">
    <w:name w:val="Fußzeile Zchn"/>
    <w:basedOn w:val="Absatz-Standardschriftart"/>
    <w:link w:val="Fuzeile"/>
    <w:uiPriority w:val="99"/>
    <w:rsid w:val="00676462"/>
    <w:rPr>
      <w:rFonts w:ascii="Arial" w:eastAsiaTheme="minorHAnsi" w:hAnsi="Arial"/>
      <w:lang w:eastAsia="en-US"/>
    </w:rPr>
  </w:style>
  <w:style w:type="paragraph" w:styleId="KeinLeerraum">
    <w:name w:val="No Spacing"/>
    <w:basedOn w:val="Standard"/>
    <w:uiPriority w:val="4"/>
    <w:unhideWhenUsed/>
    <w:rsid w:val="00676462"/>
  </w:style>
  <w:style w:type="paragraph" w:styleId="Kopfzeile">
    <w:name w:val="header"/>
    <w:basedOn w:val="Standard"/>
    <w:link w:val="KopfzeileZchn"/>
    <w:uiPriority w:val="99"/>
    <w:unhideWhenUsed/>
    <w:rsid w:val="00676462"/>
    <w:pPr>
      <w:tabs>
        <w:tab w:val="center" w:pos="4536"/>
        <w:tab w:val="right" w:pos="9072"/>
      </w:tabs>
    </w:pPr>
  </w:style>
  <w:style w:type="character" w:customStyle="1" w:styleId="KopfzeileZchn">
    <w:name w:val="Kopfzeile Zchn"/>
    <w:basedOn w:val="Absatz-Standardschriftart"/>
    <w:link w:val="Kopfzeile"/>
    <w:uiPriority w:val="99"/>
    <w:rsid w:val="00676462"/>
    <w:rPr>
      <w:rFonts w:ascii="Arial" w:eastAsiaTheme="minorHAnsi" w:hAnsi="Arial"/>
      <w:lang w:eastAsia="en-US"/>
    </w:rPr>
  </w:style>
  <w:style w:type="character" w:styleId="Seitenzahl">
    <w:name w:val="page number"/>
    <w:basedOn w:val="Absatz-Standardschriftart"/>
    <w:semiHidden/>
    <w:unhideWhenUsed/>
    <w:rsid w:val="00676462"/>
  </w:style>
  <w:style w:type="paragraph" w:styleId="Sprechblasentext">
    <w:name w:val="Balloon Text"/>
    <w:basedOn w:val="Standard"/>
    <w:link w:val="SprechblasentextZchn"/>
    <w:uiPriority w:val="99"/>
    <w:semiHidden/>
    <w:unhideWhenUsed/>
    <w:rsid w:val="006764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6462"/>
    <w:rPr>
      <w:rFonts w:ascii="Tahoma" w:eastAsiaTheme="minorHAnsi" w:hAnsi="Tahoma" w:cs="Tahoma"/>
      <w:sz w:val="16"/>
      <w:szCs w:val="16"/>
      <w:lang w:eastAsia="en-US"/>
    </w:rPr>
  </w:style>
  <w:style w:type="table" w:styleId="Tabellenraster">
    <w:name w:val="Table Grid"/>
    <w:basedOn w:val="NormaleTabelle"/>
    <w:uiPriority w:val="59"/>
    <w:rsid w:val="00676462"/>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1. Überschrift Zchn"/>
    <w:basedOn w:val="Absatz-Standardschriftart"/>
    <w:link w:val="berschrift1"/>
    <w:uiPriority w:val="9"/>
    <w:rsid w:val="00676462"/>
    <w:rPr>
      <w:rFonts w:ascii="Arial" w:eastAsiaTheme="majorEastAsia" w:hAnsi="Arial" w:cstheme="majorBidi"/>
      <w:b/>
      <w:bCs/>
      <w:sz w:val="28"/>
      <w:szCs w:val="28"/>
      <w:lang w:eastAsia="en-US"/>
    </w:rPr>
  </w:style>
  <w:style w:type="character" w:customStyle="1" w:styleId="berschrift2Zchn">
    <w:name w:val="Überschrift 2 Zchn"/>
    <w:aliases w:val="2. Überschrift Zchn"/>
    <w:basedOn w:val="Absatz-Standardschriftart"/>
    <w:link w:val="berschrift2"/>
    <w:uiPriority w:val="1"/>
    <w:rsid w:val="00676462"/>
    <w:rPr>
      <w:rFonts w:ascii="Arial" w:eastAsiaTheme="majorEastAsia" w:hAnsi="Arial" w:cstheme="majorBidi"/>
      <w:b/>
      <w:bCs/>
      <w:sz w:val="24"/>
      <w:szCs w:val="26"/>
      <w:lang w:eastAsia="en-US"/>
    </w:rPr>
  </w:style>
  <w:style w:type="character" w:customStyle="1" w:styleId="berschrift3Zchn">
    <w:name w:val="Überschrift 3 Zchn"/>
    <w:aliases w:val="3. Überschrift Zchn"/>
    <w:basedOn w:val="Absatz-Standardschriftart"/>
    <w:link w:val="berschrift3"/>
    <w:uiPriority w:val="1"/>
    <w:rsid w:val="00676462"/>
    <w:rPr>
      <w:rFonts w:ascii="Arial" w:eastAsiaTheme="majorEastAsia" w:hAnsi="Arial" w:cstheme="majorBidi"/>
      <w:b/>
      <w:bCs/>
      <w:lang w:eastAsia="en-US"/>
    </w:rPr>
  </w:style>
  <w:style w:type="character" w:customStyle="1" w:styleId="berschrift4Zchn">
    <w:name w:val="Überschrift 4 Zchn"/>
    <w:basedOn w:val="Absatz-Standardschriftart"/>
    <w:link w:val="berschrift4"/>
    <w:uiPriority w:val="9"/>
    <w:rsid w:val="008237D6"/>
    <w:rPr>
      <w:rFonts w:ascii="Arial" w:eastAsiaTheme="majorEastAsia" w:hAnsi="Arial" w:cstheme="majorBidi"/>
      <w:bCs/>
      <w:iCs/>
      <w:lang w:eastAsia="en-US"/>
    </w:rPr>
  </w:style>
  <w:style w:type="paragraph" w:styleId="Titel">
    <w:name w:val="Title"/>
    <w:basedOn w:val="Standard"/>
    <w:next w:val="Standard"/>
    <w:link w:val="TitelZchn"/>
    <w:uiPriority w:val="10"/>
    <w:qFormat/>
    <w:rsid w:val="008237D6"/>
    <w:pPr>
      <w:contextualSpacing/>
    </w:pPr>
    <w:rPr>
      <w:rFonts w:ascii="Cambria" w:eastAsiaTheme="majorEastAsia" w:hAnsi="Cambria" w:cstheme="majorBidi"/>
      <w:spacing w:val="-10"/>
      <w:kern w:val="28"/>
      <w:sz w:val="56"/>
      <w:szCs w:val="56"/>
    </w:rPr>
  </w:style>
  <w:style w:type="character" w:customStyle="1" w:styleId="TitelZchn">
    <w:name w:val="Titel Zchn"/>
    <w:basedOn w:val="Absatz-Standardschriftart"/>
    <w:link w:val="Titel"/>
    <w:uiPriority w:val="10"/>
    <w:rsid w:val="008237D6"/>
    <w:rPr>
      <w:rFonts w:ascii="Cambria" w:eastAsiaTheme="majorEastAsia" w:hAnsi="Cambria" w:cstheme="majorBidi"/>
      <w:spacing w:val="-10"/>
      <w:kern w:val="28"/>
      <w:sz w:val="56"/>
      <w:szCs w:val="56"/>
      <w:lang w:eastAsia="en-US"/>
    </w:rPr>
  </w:style>
  <w:style w:type="character" w:customStyle="1" w:styleId="berschrift5Zchn">
    <w:name w:val="Überschrift 5 Zchn"/>
    <w:basedOn w:val="Absatz-Standardschriftart"/>
    <w:link w:val="berschrift5"/>
    <w:uiPriority w:val="9"/>
    <w:semiHidden/>
    <w:rsid w:val="008237D6"/>
    <w:rPr>
      <w:rFonts w:asciiTheme="majorHAnsi" w:eastAsiaTheme="majorEastAsia" w:hAnsiTheme="majorHAnsi" w:cstheme="majorBidi"/>
      <w:color w:val="2E74B5" w:themeColor="accent1" w:themeShade="BF"/>
      <w:lang w:eastAsia="en-US"/>
    </w:rPr>
  </w:style>
  <w:style w:type="character" w:styleId="Hyperlink">
    <w:name w:val="Hyperlink"/>
    <w:basedOn w:val="Absatz-Standardschriftart"/>
    <w:uiPriority w:val="99"/>
    <w:unhideWhenUsed/>
    <w:rsid w:val="00F30C96"/>
    <w:rPr>
      <w:color w:val="0563C1" w:themeColor="hyperlink"/>
      <w:u w:val="single"/>
    </w:rPr>
  </w:style>
  <w:style w:type="character" w:styleId="Kommentarzeichen">
    <w:name w:val="annotation reference"/>
    <w:basedOn w:val="Absatz-Standardschriftart"/>
    <w:uiPriority w:val="99"/>
    <w:semiHidden/>
    <w:unhideWhenUsed/>
    <w:rsid w:val="00F30C96"/>
    <w:rPr>
      <w:sz w:val="16"/>
      <w:szCs w:val="16"/>
    </w:rPr>
  </w:style>
  <w:style w:type="paragraph" w:styleId="Kommentartext">
    <w:name w:val="annotation text"/>
    <w:basedOn w:val="Standard"/>
    <w:link w:val="KommentartextZchn"/>
    <w:uiPriority w:val="99"/>
    <w:semiHidden/>
    <w:unhideWhenUsed/>
    <w:rsid w:val="00F30C96"/>
    <w:rPr>
      <w:sz w:val="20"/>
      <w:szCs w:val="20"/>
    </w:rPr>
  </w:style>
  <w:style w:type="character" w:customStyle="1" w:styleId="KommentartextZchn">
    <w:name w:val="Kommentartext Zchn"/>
    <w:basedOn w:val="Absatz-Standardschriftart"/>
    <w:link w:val="Kommentartext"/>
    <w:uiPriority w:val="99"/>
    <w:semiHidden/>
    <w:rsid w:val="00F30C96"/>
    <w:rPr>
      <w:rFonts w:ascii="Arial" w:hAnsi="Arial"/>
      <w:sz w:val="20"/>
      <w:szCs w:val="20"/>
      <w:lang w:eastAsia="en-US"/>
    </w:rPr>
  </w:style>
  <w:style w:type="paragraph" w:styleId="Kommentarthema">
    <w:name w:val="annotation subject"/>
    <w:basedOn w:val="Kommentartext"/>
    <w:next w:val="Kommentartext"/>
    <w:link w:val="KommentarthemaZchn"/>
    <w:uiPriority w:val="99"/>
    <w:semiHidden/>
    <w:unhideWhenUsed/>
    <w:rsid w:val="00F30C96"/>
    <w:rPr>
      <w:b/>
      <w:bCs/>
    </w:rPr>
  </w:style>
  <w:style w:type="character" w:customStyle="1" w:styleId="KommentarthemaZchn">
    <w:name w:val="Kommentarthema Zchn"/>
    <w:basedOn w:val="KommentartextZchn"/>
    <w:link w:val="Kommentarthema"/>
    <w:uiPriority w:val="99"/>
    <w:semiHidden/>
    <w:rsid w:val="00F30C96"/>
    <w:rPr>
      <w:rFonts w:ascii="Arial" w:hAnsi="Arial"/>
      <w:b/>
      <w:bCs/>
      <w:sz w:val="20"/>
      <w:szCs w:val="20"/>
      <w:lang w:eastAsia="en-US"/>
    </w:rPr>
  </w:style>
  <w:style w:type="paragraph" w:styleId="Listenabsatz">
    <w:name w:val="List Paragraph"/>
    <w:basedOn w:val="Standard"/>
    <w:uiPriority w:val="34"/>
    <w:qFormat/>
    <w:rsid w:val="00F30C96"/>
    <w:pPr>
      <w:spacing w:after="200" w:line="276" w:lineRule="auto"/>
      <w:ind w:left="720"/>
      <w:contextualSpacing/>
    </w:pPr>
    <w:rPr>
      <w:rFonts w:asciiTheme="minorHAnsi" w:eastAsia="MS Mincho" w:hAnsiTheme="minorHAnsi"/>
      <w:lang w:val="en-CA"/>
    </w:rPr>
  </w:style>
  <w:style w:type="paragraph" w:styleId="Funotentext">
    <w:name w:val="footnote text"/>
    <w:basedOn w:val="Standard"/>
    <w:link w:val="FunotentextZchn"/>
    <w:uiPriority w:val="99"/>
    <w:semiHidden/>
    <w:unhideWhenUsed/>
    <w:rsid w:val="00F30C96"/>
    <w:rPr>
      <w:rFonts w:asciiTheme="minorHAnsi" w:eastAsia="MS Mincho" w:hAnsiTheme="minorHAnsi"/>
      <w:sz w:val="20"/>
      <w:szCs w:val="20"/>
      <w:lang w:val="en-CA"/>
    </w:rPr>
  </w:style>
  <w:style w:type="character" w:customStyle="1" w:styleId="FunotentextZchn">
    <w:name w:val="Fußnotentext Zchn"/>
    <w:basedOn w:val="Absatz-Standardschriftart"/>
    <w:link w:val="Funotentext"/>
    <w:uiPriority w:val="99"/>
    <w:semiHidden/>
    <w:rsid w:val="00F30C96"/>
    <w:rPr>
      <w:rFonts w:eastAsia="MS Mincho"/>
      <w:sz w:val="20"/>
      <w:szCs w:val="20"/>
      <w:lang w:val="en-CA" w:eastAsia="en-US"/>
    </w:rPr>
  </w:style>
  <w:style w:type="character" w:styleId="Funotenzeichen">
    <w:name w:val="footnote reference"/>
    <w:basedOn w:val="Absatz-Standardschriftart"/>
    <w:uiPriority w:val="99"/>
    <w:semiHidden/>
    <w:unhideWhenUsed/>
    <w:rsid w:val="00F30C96"/>
    <w:rPr>
      <w:vertAlign w:val="superscript"/>
    </w:rPr>
  </w:style>
  <w:style w:type="paragraph" w:styleId="Inhaltsverzeichnisberschrift">
    <w:name w:val="TOC Heading"/>
    <w:basedOn w:val="berschrift1"/>
    <w:next w:val="Standard"/>
    <w:uiPriority w:val="39"/>
    <w:semiHidden/>
    <w:unhideWhenUsed/>
    <w:qFormat/>
    <w:rsid w:val="00FC30A7"/>
    <w:pPr>
      <w:spacing w:line="276" w:lineRule="auto"/>
      <w:outlineLvl w:val="9"/>
    </w:pPr>
    <w:rPr>
      <w:rFonts w:asciiTheme="majorHAnsi" w:hAnsiTheme="majorHAnsi"/>
      <w:color w:val="2E74B5" w:themeColor="accent1" w:themeShade="BF"/>
      <w:lang w:val="en-US" w:eastAsia="ja-JP"/>
    </w:rPr>
  </w:style>
  <w:style w:type="paragraph" w:styleId="Verzeichnis1">
    <w:name w:val="toc 1"/>
    <w:basedOn w:val="Standard"/>
    <w:next w:val="Standard"/>
    <w:autoRedefine/>
    <w:uiPriority w:val="39"/>
    <w:unhideWhenUsed/>
    <w:rsid w:val="00FC30A7"/>
    <w:pPr>
      <w:spacing w:after="100" w:line="276" w:lineRule="auto"/>
    </w:pPr>
    <w:rPr>
      <w:rFonts w:asciiTheme="minorHAnsi" w:eastAsia="MS Mincho" w:hAnsiTheme="minorHAnsi"/>
      <w:lang w:val="en-CA"/>
    </w:rPr>
  </w:style>
  <w:style w:type="paragraph" w:styleId="Endnotentext">
    <w:name w:val="endnote text"/>
    <w:basedOn w:val="Standard"/>
    <w:link w:val="EndnotentextZchn"/>
    <w:uiPriority w:val="99"/>
    <w:semiHidden/>
    <w:unhideWhenUsed/>
    <w:rsid w:val="00FC30A7"/>
    <w:rPr>
      <w:rFonts w:asciiTheme="minorHAnsi" w:eastAsia="MS Mincho" w:hAnsiTheme="minorHAnsi"/>
      <w:sz w:val="20"/>
      <w:szCs w:val="20"/>
      <w:lang w:val="en-CA"/>
    </w:rPr>
  </w:style>
  <w:style w:type="character" w:customStyle="1" w:styleId="EndnotentextZchn">
    <w:name w:val="Endnotentext Zchn"/>
    <w:basedOn w:val="Absatz-Standardschriftart"/>
    <w:link w:val="Endnotentext"/>
    <w:uiPriority w:val="99"/>
    <w:semiHidden/>
    <w:rsid w:val="00FC30A7"/>
    <w:rPr>
      <w:rFonts w:eastAsia="MS Mincho"/>
      <w:sz w:val="20"/>
      <w:szCs w:val="20"/>
      <w:lang w:val="en-CA" w:eastAsia="en-US"/>
    </w:rPr>
  </w:style>
  <w:style w:type="character" w:styleId="Endnotenzeichen">
    <w:name w:val="endnote reference"/>
    <w:basedOn w:val="Absatz-Standardschriftart"/>
    <w:uiPriority w:val="99"/>
    <w:semiHidden/>
    <w:unhideWhenUsed/>
    <w:rsid w:val="00FC30A7"/>
    <w:rPr>
      <w:vertAlign w:val="superscript"/>
    </w:rPr>
  </w:style>
  <w:style w:type="paragraph" w:styleId="berarbeitung">
    <w:name w:val="Revision"/>
    <w:hidden/>
    <w:uiPriority w:val="99"/>
    <w:semiHidden/>
    <w:rsid w:val="00FC30A7"/>
    <w:pPr>
      <w:spacing w:after="0" w:line="240" w:lineRule="auto"/>
    </w:pPr>
    <w:rPr>
      <w:rFonts w:eastAsia="MS Mincho"/>
      <w:lang w:val="en-CA" w:eastAsia="en-US"/>
    </w:rPr>
  </w:style>
  <w:style w:type="table" w:customStyle="1" w:styleId="TableGrid1">
    <w:name w:val="Table Grid1"/>
    <w:basedOn w:val="NormaleTabelle"/>
    <w:next w:val="Tabellenraster"/>
    <w:uiPriority w:val="59"/>
    <w:rsid w:val="00BC1E0D"/>
    <w:pPr>
      <w:spacing w:after="0" w:line="240" w:lineRule="auto"/>
    </w:pPr>
    <w:rPr>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51C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58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icp-selfassessment.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897504E636C548B150CB8EF5C0D63C" ma:contentTypeVersion="12" ma:contentTypeDescription="Ein neues Dokument erstellen." ma:contentTypeScope="" ma:versionID="daf6aa239984e328f3b943ffca43e91c">
  <xsd:schema xmlns:xsd="http://www.w3.org/2001/XMLSchema" xmlns:xs="http://www.w3.org/2001/XMLSchema" xmlns:p="http://schemas.microsoft.com/office/2006/metadata/properties" xmlns:ns3="5e1eeb1b-c6a6-486e-9f80-ccb2e5132e7b" xmlns:ns4="6937d7e0-5735-45ee-91e3-5d9c038e7fa0" targetNamespace="http://schemas.microsoft.com/office/2006/metadata/properties" ma:root="true" ma:fieldsID="68c0b5decbc25f0899290f6e609a49b1" ns3:_="" ns4:_="">
    <xsd:import namespace="5e1eeb1b-c6a6-486e-9f80-ccb2e5132e7b"/>
    <xsd:import namespace="6937d7e0-5735-45ee-91e3-5d9c038e7fa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eeb1b-c6a6-486e-9f80-ccb2e5132e7b"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37d7e0-5735-45ee-91e3-5d9c038e7fa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F3B4FE-FEC9-44CE-BD62-2F4EC0404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eeb1b-c6a6-486e-9f80-ccb2e5132e7b"/>
    <ds:schemaRef ds:uri="6937d7e0-5735-45ee-91e3-5d9c038e7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F0AE46-6BD1-4586-ABA9-64355A2F01BF}">
  <ds:schemaRefs>
    <ds:schemaRef ds:uri="http://schemas.microsoft.com/sharepoint/v3/contenttype/forms"/>
  </ds:schemaRefs>
</ds:datastoreItem>
</file>

<file path=customXml/itemProps3.xml><?xml version="1.0" encoding="utf-8"?>
<ds:datastoreItem xmlns:ds="http://schemas.openxmlformats.org/officeDocument/2006/customXml" ds:itemID="{E5AF7FEA-8038-4526-B0BE-975A72F0B5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3698</Words>
  <Characters>20738</Characters>
  <Application>Microsoft Office Word</Application>
  <DocSecurity>4</DocSecurity>
  <Lines>580</Lines>
  <Paragraphs>165</Paragraphs>
  <ScaleCrop>false</ScaleCrop>
  <HeadingPairs>
    <vt:vector size="2" baseType="variant">
      <vt:variant>
        <vt:lpstr>Titel</vt:lpstr>
      </vt:variant>
      <vt:variant>
        <vt:i4>1</vt:i4>
      </vt:variant>
    </vt:vector>
  </HeadingPairs>
  <TitlesOfParts>
    <vt:vector size="1" baseType="lpstr">
      <vt:lpstr/>
    </vt:vector>
  </TitlesOfParts>
  <Company>GIZ GmbH</Company>
  <LinksUpToDate>false</LinksUpToDate>
  <CharactersWithSpaces>24293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Mariella Regh</dc:creator>
  <cp:keywords/>
  <dc:description/>
  <cp:lastModifiedBy>Regh, Mariella GIZ</cp:lastModifiedBy>
  <cp:revision>2</cp:revision>
  <dcterms:created xsi:type="dcterms:W3CDTF">2020-09-16T12:35:00Z</dcterms:created>
  <dcterms:modified xsi:type="dcterms:W3CDTF">2020-09-16T12:35:00Z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0x0101002F897504E636C548B150CB8EF5C0D63C</vt:lpwstr>
  </property>
</Properties>
</file>